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00" w:lineRule="exact"/>
        <w:jc w:val="left"/>
        <w:rPr>
          <w:rFonts w:ascii="Times New Roman" w:hAnsi="Times New Roman" w:eastAsia="黑体" w:cs="Times New Roman"/>
          <w:bCs/>
          <w:color w:val="000000"/>
          <w:kern w:val="0"/>
          <w:sz w:val="32"/>
          <w:szCs w:val="32"/>
        </w:rPr>
      </w:pPr>
      <w:r>
        <w:rPr>
          <w:rFonts w:hint="default" w:ascii="Times New Roman" w:hAnsi="Times New Roman" w:eastAsia="黑体" w:cs="Times New Roman"/>
          <w:bCs/>
          <w:color w:val="000000"/>
          <w:kern w:val="0"/>
          <w:sz w:val="32"/>
          <w:szCs w:val="32"/>
        </w:rPr>
        <w:t>附件1</w:t>
      </w:r>
    </w:p>
    <w:p>
      <w:pPr>
        <w:tabs>
          <w:tab w:val="left" w:pos="4500"/>
        </w:tabs>
        <w:autoSpaceDE w:val="0"/>
        <w:autoSpaceDN w:val="0"/>
        <w:spacing w:beforeLines="150" w:line="520" w:lineRule="exact"/>
        <w:jc w:val="center"/>
        <w:rPr>
          <w:rFonts w:ascii="Times New Roman" w:hAnsi="Times New Roman" w:eastAsia="方正小标宋简体" w:cs="Times New Roman"/>
          <w:color w:val="000000"/>
          <w:sz w:val="44"/>
          <w:szCs w:val="44"/>
        </w:rPr>
      </w:pPr>
      <w:r>
        <w:rPr>
          <w:rFonts w:hint="default" w:ascii="Times New Roman" w:hAnsi="Times New Roman" w:eastAsia="方正小标宋简体" w:cs="Times New Roman"/>
          <w:color w:val="000000"/>
          <w:sz w:val="44"/>
          <w:szCs w:val="44"/>
        </w:rPr>
        <w:t>技术先进型服务业务认定范围（试行）</w:t>
      </w:r>
    </w:p>
    <w:p>
      <w:pPr>
        <w:tabs>
          <w:tab w:val="left" w:pos="4500"/>
        </w:tabs>
        <w:autoSpaceDE w:val="0"/>
        <w:autoSpaceDN w:val="0"/>
        <w:spacing w:line="520" w:lineRule="exact"/>
        <w:rPr>
          <w:rFonts w:ascii="Times New Roman" w:hAnsi="Times New Roman" w:eastAsia="仿宋" w:cs="Times New Roman"/>
          <w:color w:val="000000"/>
          <w:sz w:val="30"/>
          <w:szCs w:val="30"/>
        </w:rPr>
      </w:pPr>
    </w:p>
    <w:p>
      <w:pPr>
        <w:tabs>
          <w:tab w:val="left" w:pos="4500"/>
        </w:tabs>
        <w:autoSpaceDN w:val="0"/>
        <w:spacing w:line="520" w:lineRule="exact"/>
        <w:ind w:firstLine="640" w:firstLineChars="200"/>
        <w:rPr>
          <w:rFonts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一、信息技术外包服务（</w:t>
      </w:r>
      <w:r>
        <w:rPr>
          <w:rFonts w:ascii="Times New Roman" w:hAnsi="Times New Roman" w:eastAsia="黑体" w:cs="Times New Roman"/>
          <w:color w:val="000000"/>
          <w:sz w:val="32"/>
          <w:szCs w:val="32"/>
        </w:rPr>
        <w:t>ITO</w:t>
      </w:r>
      <w:r>
        <w:rPr>
          <w:rFonts w:hint="default" w:ascii="Times New Roman" w:hAnsi="Times New Roman" w:eastAsia="黑体" w:cs="Times New Roman"/>
          <w:color w:val="000000"/>
          <w:sz w:val="32"/>
          <w:szCs w:val="32"/>
        </w:rPr>
        <w:t>）</w:t>
      </w:r>
    </w:p>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（一）软件研发及外包</w:t>
      </w:r>
    </w:p>
    <w:tbl>
      <w:tblPr>
        <w:tblStyle w:val="6"/>
        <w:tblW w:w="90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66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76"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684"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94" w:hRule="atLeast"/>
          <w:jc w:val="center"/>
        </w:trPr>
        <w:tc>
          <w:tcPr>
            <w:tcW w:w="2376"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软件研发及开发服务</w:t>
            </w:r>
          </w:p>
        </w:tc>
        <w:tc>
          <w:tcPr>
            <w:tcW w:w="6684"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用于金融、政府、教育、制造业、零售、服务、能源、物流、交通、媒体、电信、公共事业和医疗卫生等部门和企业，为用户的运营／生产／供应链／客户关系／人力资源和财务管理、计算机辅助设计／工程等业务进行软件开发，包括定制软件开发，嵌入式软件、套装软件开发，系统软件开发、软件测试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76"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软件技术服务</w:t>
            </w:r>
          </w:p>
        </w:tc>
        <w:tc>
          <w:tcPr>
            <w:tcW w:w="6684"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软件咨询、维护、培训、测试等技术性服务。</w:t>
            </w:r>
          </w:p>
        </w:tc>
      </w:tr>
    </w:tbl>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（二）信息技术研发服务外包</w:t>
      </w:r>
    </w:p>
    <w:tbl>
      <w:tblPr>
        <w:tblStyle w:val="6"/>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93"/>
        <w:gridCol w:w="6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93"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668"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393"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集成电路和电子电路设计</w:t>
            </w:r>
          </w:p>
        </w:tc>
        <w:tc>
          <w:tcPr>
            <w:tcW w:w="6668"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集成电路和电子电路产品设计以及相关技术支持服务等。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393"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测试平台</w:t>
            </w:r>
          </w:p>
        </w:tc>
        <w:tc>
          <w:tcPr>
            <w:tcW w:w="6668"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为软件、集成电路和电子电路的开发运用提供测试平台。</w:t>
            </w:r>
          </w:p>
        </w:tc>
      </w:tr>
    </w:tbl>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p>
    <w:p>
      <w:pPr>
        <w:widowControl/>
        <w:jc w:val="left"/>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br w:type="page"/>
      </w:r>
    </w:p>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（三）信息系统运营维护外包</w:t>
      </w:r>
    </w:p>
    <w:tbl>
      <w:tblPr>
        <w:tblStyle w:val="6"/>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2"/>
        <w:gridCol w:w="66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402"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659"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6" w:hRule="atLeast"/>
          <w:jc w:val="center"/>
        </w:trPr>
        <w:tc>
          <w:tcPr>
            <w:tcW w:w="2402"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信息系统运营</w:t>
            </w:r>
          </w:p>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和维护服务</w:t>
            </w:r>
          </w:p>
        </w:tc>
        <w:tc>
          <w:tcPr>
            <w:tcW w:w="6659"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客户内部信息系统集成、网络管理、桌面管理与维护服务；信息工程、地理信息系统、远程维护等信息系统应用服务。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1" w:hRule="atLeast"/>
          <w:jc w:val="center"/>
        </w:trPr>
        <w:tc>
          <w:tcPr>
            <w:tcW w:w="2402"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基础信息技术</w:t>
            </w:r>
          </w:p>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服务</w:t>
            </w:r>
          </w:p>
        </w:tc>
        <w:tc>
          <w:tcPr>
            <w:tcW w:w="6659"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基础信息技术管理平台整合、IT基础设施管理、数据中心、托管中心、安全服务、通讯服务等基础信息技术服务。</w:t>
            </w:r>
          </w:p>
        </w:tc>
      </w:tr>
    </w:tbl>
    <w:p>
      <w:pPr>
        <w:tabs>
          <w:tab w:val="left" w:pos="4500"/>
        </w:tabs>
        <w:autoSpaceDN w:val="0"/>
        <w:spacing w:beforeLines="50" w:afterLines="50" w:line="580" w:lineRule="exact"/>
        <w:ind w:firstLine="640" w:firstLineChars="200"/>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t>二、技术性业务流程外包服务（BPO）</w:t>
      </w:r>
    </w:p>
    <w:tbl>
      <w:tblPr>
        <w:tblStyle w:val="6"/>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7"/>
        <w:gridCol w:w="6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tblHeader/>
          <w:jc w:val="center"/>
        </w:trPr>
        <w:tc>
          <w:tcPr>
            <w:tcW w:w="2407"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654"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7" w:hRule="atLeast"/>
          <w:jc w:val="center"/>
        </w:trPr>
        <w:tc>
          <w:tcPr>
            <w:tcW w:w="2407" w:type="dxa"/>
            <w:noWrap w:val="0"/>
            <w:tcMar>
              <w:top w:w="113" w:type="dxa"/>
              <w:left w:w="57" w:type="dxa"/>
              <w:bottom w:w="113" w:type="dxa"/>
              <w:right w:w="57" w:type="dxa"/>
            </w:tcMar>
            <w:vAlign w:val="center"/>
          </w:tcPr>
          <w:p>
            <w:pPr>
              <w:autoSpaceDN w:val="0"/>
              <w:spacing w:line="400" w:lineRule="exact"/>
              <w:jc w:val="center"/>
              <w:rPr>
                <w:rFonts w:ascii="Times New Roman" w:hAnsi="Times New Roman" w:eastAsia="仿宋_GB2312" w:cs="Times New Roman"/>
                <w:color w:val="000000"/>
                <w:spacing w:val="-4"/>
                <w:sz w:val="24"/>
              </w:rPr>
            </w:pPr>
            <w:r>
              <w:rPr>
                <w:rFonts w:ascii="Times New Roman" w:hAnsi="Times New Roman" w:eastAsia="仿宋_GB2312" w:cs="Times New Roman"/>
                <w:color w:val="000000"/>
                <w:spacing w:val="-4"/>
                <w:sz w:val="24"/>
              </w:rPr>
              <w:t>企业业务流程</w:t>
            </w:r>
          </w:p>
          <w:p>
            <w:pPr>
              <w:autoSpaceDN w:val="0"/>
              <w:spacing w:line="400" w:lineRule="exact"/>
              <w:jc w:val="center"/>
              <w:rPr>
                <w:rFonts w:ascii="Times New Roman" w:hAnsi="Times New Roman" w:eastAsia="仿宋_GB2312" w:cs="Times New Roman"/>
                <w:color w:val="000000"/>
                <w:spacing w:val="-4"/>
                <w:sz w:val="24"/>
              </w:rPr>
            </w:pPr>
            <w:r>
              <w:rPr>
                <w:rFonts w:ascii="Times New Roman" w:hAnsi="Times New Roman" w:eastAsia="仿宋_GB2312" w:cs="Times New Roman"/>
                <w:color w:val="000000"/>
                <w:spacing w:val="-4"/>
                <w:sz w:val="24"/>
              </w:rPr>
              <w:t>设计服务</w:t>
            </w:r>
          </w:p>
        </w:tc>
        <w:tc>
          <w:tcPr>
            <w:tcW w:w="6654"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为客户企业提供内部管理、业务运作等流程设计服务。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7" w:hRule="atLeast"/>
          <w:jc w:val="center"/>
        </w:trPr>
        <w:tc>
          <w:tcPr>
            <w:tcW w:w="2407"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企业内部管理</w:t>
            </w:r>
          </w:p>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服务</w:t>
            </w:r>
          </w:p>
        </w:tc>
        <w:tc>
          <w:tcPr>
            <w:tcW w:w="6654"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为客户企业提供后台管理、人力资源管理、财务、审计与税务管理、金融支付服务、医疗数据及其他内部管理业务的数据分析、数据挖掘、数据管理、数据使用的服务；承接客户专业数据处理、分析和整合服务。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 w:hRule="atLeast"/>
          <w:jc w:val="center"/>
        </w:trPr>
        <w:tc>
          <w:tcPr>
            <w:tcW w:w="2407"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企业运营服务</w:t>
            </w:r>
          </w:p>
        </w:tc>
        <w:tc>
          <w:tcPr>
            <w:tcW w:w="6654"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为客户企业提供技术研发服务、为企业经营、销售、产品售后服务提供的应用客户分析、数据库管理等服务。主要包括金融服务业务、政务与教育业务、制造业务和生命科学、零售和批发与运输业务、卫生保健业务、通讯与公共事业业务、呼叫中心、电子商务平台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2407" w:type="dxa"/>
            <w:noWrap w:val="0"/>
            <w:tcMar>
              <w:top w:w="113" w:type="dxa"/>
              <w:bottom w:w="113" w:type="dxa"/>
            </w:tcMar>
            <w:vAlign w:val="center"/>
          </w:tcPr>
          <w:p>
            <w:pPr>
              <w:autoSpaceDN w:val="0"/>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企业供应链管理服务</w:t>
            </w:r>
          </w:p>
        </w:tc>
        <w:tc>
          <w:tcPr>
            <w:tcW w:w="6654" w:type="dxa"/>
            <w:noWrap w:val="0"/>
            <w:tcMar>
              <w:top w:w="113" w:type="dxa"/>
              <w:bottom w:w="113" w:type="dxa"/>
            </w:tcMar>
            <w:vAlign w:val="center"/>
          </w:tcPr>
          <w:p>
            <w:pPr>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为客户企业提供采购、物流的整体方案设计及数据库服务。</w:t>
            </w:r>
          </w:p>
        </w:tc>
      </w:tr>
    </w:tbl>
    <w:p>
      <w:pPr>
        <w:tabs>
          <w:tab w:val="left" w:pos="4500"/>
        </w:tabs>
        <w:autoSpaceDN w:val="0"/>
        <w:spacing w:line="240" w:lineRule="exact"/>
        <w:ind w:firstLine="480" w:firstLineChars="200"/>
        <w:rPr>
          <w:rFonts w:ascii="Times New Roman" w:hAnsi="Times New Roman" w:eastAsia="仿宋_GB2312" w:cs="Times New Roman"/>
          <w:color w:val="000000"/>
          <w:sz w:val="24"/>
        </w:rPr>
      </w:pPr>
    </w:p>
    <w:p>
      <w:pPr>
        <w:widowControl/>
        <w:jc w:val="left"/>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br w:type="page"/>
      </w:r>
    </w:p>
    <w:p>
      <w:pPr>
        <w:tabs>
          <w:tab w:val="left" w:pos="4500"/>
        </w:tabs>
        <w:autoSpaceDN w:val="0"/>
        <w:spacing w:beforeLines="50" w:afterLines="50" w:line="580" w:lineRule="exact"/>
        <w:ind w:firstLine="640" w:firstLineChars="200"/>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t>三、技术性知识流程外包服务（KPO）</w:t>
      </w:r>
    </w:p>
    <w:tbl>
      <w:tblPr>
        <w:tblStyle w:val="6"/>
        <w:tblW w:w="9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061" w:type="dxa"/>
            <w:noWrap w:val="0"/>
            <w:tcMar>
              <w:top w:w="113" w:type="dxa"/>
              <w:bottom w:w="113" w:type="dxa"/>
            </w:tcMar>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8" w:hRule="atLeast"/>
          <w:jc w:val="center"/>
        </w:trPr>
        <w:tc>
          <w:tcPr>
            <w:tcW w:w="9061" w:type="dxa"/>
            <w:noWrap w:val="0"/>
            <w:tcMar>
              <w:top w:w="113" w:type="dxa"/>
              <w:bottom w:w="113" w:type="dxa"/>
            </w:tcMar>
            <w:vAlign w:val="center"/>
          </w:tcPr>
          <w:p>
            <w:pPr>
              <w:tabs>
                <w:tab w:val="left" w:pos="4500"/>
              </w:tabs>
              <w:autoSpaceDN w:val="0"/>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知识产权研究、医药和生物技术研发和测试、产品技术研发、工业设计、分析学和数据挖掘、动漫及网游设计研发、教育课件研发、工程设计等领域。</w:t>
            </w:r>
          </w:p>
        </w:tc>
      </w:tr>
    </w:tbl>
    <w:p>
      <w:pPr>
        <w:tabs>
          <w:tab w:val="left" w:pos="4500"/>
        </w:tabs>
        <w:autoSpaceDN w:val="0"/>
        <w:spacing w:beforeLines="50" w:afterLines="50" w:line="580" w:lineRule="exact"/>
        <w:ind w:firstLine="640" w:firstLineChars="200"/>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t>四、服务贸易类</w:t>
      </w:r>
    </w:p>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（一）计算机和信息服务</w:t>
      </w:r>
    </w:p>
    <w:tbl>
      <w:tblPr>
        <w:tblStyle w:val="6"/>
        <w:tblW w:w="9059" w:type="dxa"/>
        <w:jc w:val="center"/>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936"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信息系统集成服务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系统集成咨询服务；系统集成工程服务；提供硬件设备现场组装、软件安装与调试及相关运营维护支撑服务；系统运营维护服务，包括系统运行检测监控、故障定位与排除、性能管理、优化升级等。</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354"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数据服务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数据存储管理服务，提供数据规划、评估、审计、咨询、清洗、整理、应用服务，数据增值服务，提供其他未分类数据处理服务。</w:t>
            </w:r>
          </w:p>
        </w:tc>
      </w:tr>
    </w:tbl>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（二）研究开发和技术服务</w:t>
      </w:r>
    </w:p>
    <w:tbl>
      <w:tblPr>
        <w:tblStyle w:val="6"/>
        <w:tblW w:w="9059" w:type="dxa"/>
        <w:jc w:val="center"/>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567" w:hRule="atLeast"/>
          <w:tblHeader/>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研究和实验开发服务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物理学、化学、生物学、基因学、工程学、医学、农业科学、环境科学、人类地理科学、经济学和人文科学等领域的研究和实验开发服务。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工业设计服务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对产品的材料、结构、机理、形状、颜色和表面处理的设计与选择；对产品进行的综合设计服务，即产品外观的设计、机械结构和电路设计等服务。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874"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知识产权跨境许可</w:t>
            </w:r>
          </w:p>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与转让</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以专利、版权、商标等为载体的技术贸易。知识产权跨境许可是指授权境外机构有偿使用专利、版权和商标等；知识产权跨境转让是指将专利、版权和商标等知识产权售卖给境外机构。</w:t>
            </w:r>
          </w:p>
        </w:tc>
      </w:tr>
    </w:tbl>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（三）文化技术服务</w:t>
      </w:r>
    </w:p>
    <w:tbl>
      <w:tblPr>
        <w:tblStyle w:val="6"/>
        <w:tblW w:w="9059" w:type="dxa"/>
        <w:jc w:val="center"/>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747"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文化产品数字制作</w:t>
            </w:r>
          </w:p>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及相关服务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采用数字技术对舞台剧目、音乐、美术、文物、非物质文化遗产、文献资源等文化内容以及各种出版物进行数字化转化和开发，为各种显示终端提供内容，以及采用数字技术传播、经营文化产品等相关服务。</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345"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文化产品的对外翻译、</w:t>
            </w:r>
          </w:p>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配音及制作服务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将本国文化产品翻译或配音成其他国家语言，将其他国家文化产品翻译或配音成本国语言以及与其相关的制作服务。</w:t>
            </w:r>
          </w:p>
        </w:tc>
      </w:tr>
    </w:tbl>
    <w:p>
      <w:pPr>
        <w:tabs>
          <w:tab w:val="left" w:pos="4500"/>
        </w:tabs>
        <w:autoSpaceDN w:val="0"/>
        <w:spacing w:beforeLines="50" w:afterLines="50" w:line="520" w:lineRule="exact"/>
        <w:ind w:firstLine="560" w:firstLineChars="200"/>
        <w:rPr>
          <w:rFonts w:ascii="Times New Roman" w:hAnsi="Times New Roman" w:eastAsia="黑体" w:cs="Times New Roman"/>
          <w:color w:val="000000"/>
          <w:sz w:val="28"/>
          <w:szCs w:val="28"/>
        </w:rPr>
      </w:pPr>
      <w:r>
        <w:rPr>
          <w:rFonts w:ascii="Times New Roman" w:hAnsi="Times New Roman" w:eastAsia="黑体" w:cs="Times New Roman"/>
          <w:color w:val="000000"/>
          <w:sz w:val="28"/>
          <w:szCs w:val="28"/>
        </w:rPr>
        <w:t>（四</w:t>
      </w:r>
      <w:r>
        <w:rPr>
          <w:rFonts w:hint="default" w:ascii="Times New Roman" w:hAnsi="Times New Roman" w:eastAsia="黑体" w:cs="Times New Roman"/>
          <w:color w:val="000000"/>
          <w:sz w:val="28"/>
          <w:szCs w:val="28"/>
        </w:rPr>
        <w:t>）</w:t>
      </w:r>
      <w:r>
        <w:rPr>
          <w:rFonts w:ascii="Times New Roman" w:hAnsi="Times New Roman" w:eastAsia="黑体" w:cs="Times New Roman"/>
          <w:color w:val="000000"/>
          <w:sz w:val="28"/>
          <w:szCs w:val="28"/>
        </w:rPr>
        <w:t>中医药医疗服务</w:t>
      </w:r>
    </w:p>
    <w:tbl>
      <w:tblPr>
        <w:tblStyle w:val="6"/>
        <w:tblW w:w="9059" w:type="dxa"/>
        <w:jc w:val="center"/>
        <w:tblInd w:w="0" w:type="dxa"/>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
      <w:tblGrid>
        <w:gridCol w:w="3024"/>
        <w:gridCol w:w="6035"/>
      </w:tblGrid>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567" w:hRule="atLeast"/>
          <w:jc w:val="center"/>
        </w:trPr>
        <w:tc>
          <w:tcPr>
            <w:tcW w:w="3024"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类 别</w:t>
            </w:r>
          </w:p>
        </w:tc>
        <w:tc>
          <w:tcPr>
            <w:tcW w:w="6035" w:type="dxa"/>
            <w:tcBorders>
              <w:top w:val="outset" w:color="000000" w:sz="6" w:space="0"/>
              <w:left w:val="outset" w:color="000000" w:sz="6" w:space="0"/>
              <w:bottom w:val="outset" w:color="000000" w:sz="6" w:space="0"/>
              <w:right w:val="outset" w:color="000000" w:sz="6" w:space="0"/>
            </w:tcBorders>
            <w:shd w:val="clear" w:color="auto" w:fill="FFFFFF"/>
            <w:noWrap w:val="0"/>
            <w:vAlign w:val="center"/>
          </w:tcPr>
          <w:p>
            <w:pPr>
              <w:tabs>
                <w:tab w:val="left" w:pos="4500"/>
              </w:tabs>
              <w:autoSpaceDN w:val="0"/>
              <w:spacing w:line="400" w:lineRule="exact"/>
              <w:jc w:val="center"/>
              <w:rPr>
                <w:rFonts w:ascii="Times New Roman" w:hAnsi="Times New Roman" w:eastAsia="黑体" w:cs="Times New Roman"/>
                <w:color w:val="000000"/>
                <w:sz w:val="24"/>
              </w:rPr>
            </w:pPr>
            <w:r>
              <w:rPr>
                <w:rFonts w:ascii="Times New Roman" w:hAnsi="Times New Roman" w:eastAsia="黑体" w:cs="Times New Roman"/>
                <w:color w:val="000000"/>
                <w:sz w:val="24"/>
              </w:rPr>
              <w:t>适用范围</w:t>
            </w:r>
          </w:p>
        </w:tc>
      </w:tr>
      <w:tr>
        <w:tblPrEx>
          <w:tblBorders>
            <w:top w:val="outset" w:color="000000" w:sz="6" w:space="0"/>
            <w:left w:val="outset" w:color="000000" w:sz="6" w:space="0"/>
            <w:bottom w:val="outset" w:color="000000" w:sz="6" w:space="0"/>
            <w:right w:val="outset" w:color="000000" w:sz="6" w:space="0"/>
            <w:insideH w:val="outset" w:color="000000" w:sz="6" w:space="0"/>
            <w:insideV w:val="outset" w:color="000000" w:sz="6" w:space="0"/>
          </w:tblBorders>
          <w:tblLayout w:type="fixed"/>
          <w:tblCellMar>
            <w:top w:w="0" w:type="dxa"/>
            <w:left w:w="108" w:type="dxa"/>
            <w:bottom w:w="0" w:type="dxa"/>
            <w:right w:w="108" w:type="dxa"/>
          </w:tblCellMar>
        </w:tblPrEx>
        <w:trPr>
          <w:trHeight w:val="1058" w:hRule="atLeast"/>
          <w:jc w:val="center"/>
        </w:trPr>
        <w:tc>
          <w:tcPr>
            <w:tcW w:w="3024"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中医药医疗保健及</w:t>
            </w:r>
          </w:p>
          <w:p>
            <w:pPr>
              <w:widowControl/>
              <w:spacing w:line="400" w:lineRule="exact"/>
              <w:jc w:val="center"/>
              <w:rPr>
                <w:rFonts w:ascii="Times New Roman" w:hAnsi="Times New Roman" w:eastAsia="仿宋_GB2312" w:cs="Times New Roman"/>
                <w:color w:val="000000"/>
                <w:sz w:val="24"/>
              </w:rPr>
            </w:pPr>
            <w:r>
              <w:rPr>
                <w:rFonts w:ascii="Times New Roman" w:hAnsi="Times New Roman" w:eastAsia="仿宋_GB2312" w:cs="Times New Roman"/>
                <w:color w:val="000000"/>
                <w:sz w:val="24"/>
              </w:rPr>
              <w:t>相关服务</w:t>
            </w:r>
          </w:p>
        </w:tc>
        <w:tc>
          <w:tcPr>
            <w:tcW w:w="6035" w:type="dxa"/>
            <w:tcBorders>
              <w:top w:val="outset" w:color="000000" w:sz="6" w:space="0"/>
              <w:left w:val="outset" w:color="000000" w:sz="6" w:space="0"/>
              <w:bottom w:val="outset" w:color="000000" w:sz="6" w:space="0"/>
              <w:right w:val="outset" w:color="000000" w:sz="6" w:space="0"/>
            </w:tcBorders>
            <w:noWrap w:val="0"/>
            <w:vAlign w:val="center"/>
          </w:tcPr>
          <w:p>
            <w:pPr>
              <w:widowControl/>
              <w:spacing w:line="400" w:lineRule="exact"/>
              <w:rPr>
                <w:rFonts w:ascii="Times New Roman" w:hAnsi="Times New Roman" w:eastAsia="仿宋_GB2312" w:cs="Times New Roman"/>
                <w:color w:val="000000"/>
                <w:sz w:val="24"/>
              </w:rPr>
            </w:pPr>
            <w:r>
              <w:rPr>
                <w:rFonts w:ascii="Times New Roman" w:hAnsi="Times New Roman" w:eastAsia="仿宋_GB2312" w:cs="Times New Roman"/>
                <w:color w:val="000000"/>
                <w:sz w:val="24"/>
              </w:rPr>
              <w:t>与中医药相关的远程医疗保健、教育培训、文化交流等服务。</w:t>
            </w:r>
          </w:p>
        </w:tc>
      </w:tr>
    </w:tbl>
    <w:p>
      <w:pPr>
        <w:rPr>
          <w:rFonts w:hint="default" w:ascii="Times New Roman" w:hAnsi="Times New Roman" w:eastAsia="仿宋_GB2312" w:cs="Times New Roman"/>
          <w:sz w:val="32"/>
          <w:szCs w:val="32"/>
          <w:lang w:val="en-US" w:eastAsia="zh-CN"/>
        </w:rPr>
      </w:pPr>
      <w:bookmarkStart w:id="0" w:name="_GoBack"/>
      <w:bookmarkEnd w:id="0"/>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rPr>
                        <w:rFonts w:hint="eastAsia" w:asciiTheme="minorEastAsia" w:hAnsiTheme="minorEastAsia" w:cstheme="minorEastAsia"/>
                        <w:sz w:val="28"/>
                        <w:szCs w:val="28"/>
                      </w:rPr>
                    </w:pP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E3M2JjNTdlM2ZjYjlkNTA5YmMzZDg2Zjg4OWY1MTgifQ=="/>
  </w:docVars>
  <w:rsids>
    <w:rsidRoot w:val="4A0E447D"/>
    <w:rsid w:val="055A58E3"/>
    <w:rsid w:val="093A5EBB"/>
    <w:rsid w:val="09B259BF"/>
    <w:rsid w:val="0A426EBA"/>
    <w:rsid w:val="101D03EC"/>
    <w:rsid w:val="14C11EC1"/>
    <w:rsid w:val="14C339A5"/>
    <w:rsid w:val="186B7912"/>
    <w:rsid w:val="20043741"/>
    <w:rsid w:val="29FB0865"/>
    <w:rsid w:val="2C877C3B"/>
    <w:rsid w:val="3328091C"/>
    <w:rsid w:val="338977D0"/>
    <w:rsid w:val="360436CF"/>
    <w:rsid w:val="366A2726"/>
    <w:rsid w:val="3B914B85"/>
    <w:rsid w:val="42462EDC"/>
    <w:rsid w:val="4A0E447D"/>
    <w:rsid w:val="4E7823F5"/>
    <w:rsid w:val="4F3163D2"/>
    <w:rsid w:val="545D7AE6"/>
    <w:rsid w:val="61316F8A"/>
    <w:rsid w:val="62FC3F0E"/>
    <w:rsid w:val="65532A7F"/>
    <w:rsid w:val="67DA38E9"/>
    <w:rsid w:val="6884144A"/>
    <w:rsid w:val="70584E17"/>
    <w:rsid w:val="734E3D1B"/>
    <w:rsid w:val="744D11BB"/>
    <w:rsid w:val="7518787A"/>
    <w:rsid w:val="75954C96"/>
    <w:rsid w:val="77E2365E"/>
    <w:rsid w:val="78D92FDC"/>
    <w:rsid w:val="7CAF46FB"/>
    <w:rsid w:val="B0D7D8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3496</Words>
  <Characters>3682</Characters>
  <Lines>0</Lines>
  <Paragraphs>0</Paragraphs>
  <TotalTime>234</TotalTime>
  <ScaleCrop>false</ScaleCrop>
  <LinksUpToDate>false</LinksUpToDate>
  <CharactersWithSpaces>3915</CharactersWithSpaces>
  <Application>WPS Office_11.1.0.8799_F1E327BC-269C-435d-A152-05C5408002CA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2024-11-20T18:21:00Z</dcterms:created>
  <dc:creator>文静</dc:creator>
  <cp:lastModifiedBy>阳光果粒陈</cp:lastModifiedBy>
  <cp:lastPrinted>2025-03-25T01:22:00Z</cp:lastPrinted>
  <dcterms:modified xsi:type="dcterms:W3CDTF">2025-04-09T08:16:53Z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2052-11.1.0.8799</vt:lpwstr>
  </property>
  <property fmtid="{D5CDD505-2E9C-101B-9397-08002B2CF9AE}" pid="3" name="ICV">
    <vt:lpwstr>FE3CF338C6C44FF9A6D8AD06401985A5_13</vt:lpwstr>
  </property>
  <property fmtid="{D5CDD505-2E9C-101B-9397-08002B2CF9AE}" pid="4" name="KSOTemplateDocerSaveRecord">
    <vt:lpwstr>eyJoZGlkIjoiZWE3M2JjNTdlM2ZjYjlkNTA5YmMzZDg2Zjg4OWY1MTgiLCJ1c2VySWQiOiI2NjI2NTQwOTgifQ==</vt:lpwstr>
  </property>
</Properties>
</file>