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80" w:lineRule="exact"/>
        <w:jc w:val="both"/>
        <w:rPr>
          <w:rFonts w:hint="default" w:ascii="Times New Roman" w:hAnsi="Times New Roman" w:eastAsia="方正小标宋简体" w:cs="Times New Roman"/>
          <w:color w:val="auto"/>
          <w:sz w:val="44"/>
          <w:szCs w:val="44"/>
          <w:highlight w:val="none"/>
          <w:lang w:val="en-US" w:eastAsia="zh-CN"/>
        </w:rPr>
      </w:pPr>
    </w:p>
    <w:p>
      <w:pPr>
        <w:snapToGrid w:val="0"/>
        <w:spacing w:line="580" w:lineRule="exact"/>
        <w:jc w:val="both"/>
        <w:rPr>
          <w:rFonts w:hint="default" w:ascii="Times New Roman" w:hAnsi="Times New Roman" w:eastAsia="方正小标宋简体" w:cs="Times New Roman"/>
          <w:color w:val="auto"/>
          <w:sz w:val="44"/>
          <w:szCs w:val="44"/>
          <w:highlight w:val="none"/>
          <w:lang w:val="en-US" w:eastAsia="zh-CN"/>
        </w:rPr>
      </w:pPr>
    </w:p>
    <w:p>
      <w:pPr>
        <w:snapToGrid w:val="0"/>
        <w:spacing w:line="580" w:lineRule="exact"/>
        <w:jc w:val="both"/>
        <w:rPr>
          <w:rFonts w:hint="default" w:ascii="Times New Roman" w:hAnsi="Times New Roman" w:eastAsia="方正小标宋简体" w:cs="Times New Roman"/>
          <w:color w:val="auto"/>
          <w:sz w:val="44"/>
          <w:szCs w:val="44"/>
          <w:highlight w:val="none"/>
          <w:lang w:val="en-US" w:eastAsia="zh-CN"/>
        </w:rPr>
      </w:pPr>
    </w:p>
    <w:p>
      <w:pPr>
        <w:snapToGrid w:val="0"/>
        <w:spacing w:line="580" w:lineRule="exact"/>
        <w:jc w:val="both"/>
        <w:rPr>
          <w:rFonts w:hint="eastAsia" w:ascii="Times New Roman" w:hAnsi="Times New Roman" w:eastAsia="方正小标宋简体" w:cs="Times New Roman"/>
          <w:color w:val="auto"/>
          <w:sz w:val="44"/>
          <w:szCs w:val="44"/>
          <w:highlight w:val="none"/>
          <w:lang w:val="en-US" w:eastAsia="zh-CN"/>
        </w:rPr>
      </w:pPr>
      <w:r>
        <w:rPr>
          <w:rFonts w:hint="eastAsia" w:eastAsia="方正小标宋简体" w:cs="Times New Roman"/>
          <w:color w:val="auto"/>
          <w:sz w:val="44"/>
          <w:szCs w:val="44"/>
          <w:highlight w:val="none"/>
          <w:lang w:val="en-US" w:eastAsia="zh-CN"/>
        </w:rPr>
        <w:t xml:space="preserve">    中共淄博市委淄博高新区工作委员会</w:t>
      </w:r>
    </w:p>
    <w:p>
      <w:pPr>
        <w:snapToGrid w:val="0"/>
        <w:spacing w:line="580" w:lineRule="exact"/>
        <w:jc w:val="center"/>
        <w:rPr>
          <w:rFonts w:hint="default" w:eastAsia="方正小标宋简体" w:cs="Times New Roman"/>
          <w:color w:val="auto"/>
          <w:sz w:val="44"/>
          <w:szCs w:val="44"/>
          <w:highlight w:val="none"/>
          <w:lang w:val="en-US" w:eastAsia="zh-CN"/>
        </w:rPr>
      </w:pPr>
      <w:r>
        <w:rPr>
          <w:rFonts w:hint="default" w:eastAsia="方正小标宋简体" w:cs="Times New Roman"/>
          <w:color w:val="auto"/>
          <w:sz w:val="44"/>
          <w:szCs w:val="44"/>
          <w:highlight w:val="none"/>
          <w:lang w:val="en-US" w:eastAsia="zh-CN"/>
        </w:rPr>
        <w:t>淄博高新技术产业开发区管理委员会</w:t>
      </w:r>
    </w:p>
    <w:p>
      <w:pPr>
        <w:snapToGrid w:val="0"/>
        <w:spacing w:line="580" w:lineRule="exact"/>
        <w:jc w:val="center"/>
        <w:rPr>
          <w:rFonts w:hint="default" w:eastAsia="方正小标宋简体" w:cs="Times New Roman"/>
          <w:color w:val="auto"/>
          <w:sz w:val="44"/>
          <w:szCs w:val="44"/>
          <w:highlight w:val="none"/>
          <w:lang w:val="en-US" w:eastAsia="zh-CN"/>
        </w:rPr>
      </w:pPr>
      <w:r>
        <w:rPr>
          <w:rFonts w:hint="default" w:eastAsia="方正小标宋简体" w:cs="Times New Roman"/>
          <w:color w:val="auto"/>
          <w:sz w:val="44"/>
          <w:szCs w:val="44"/>
          <w:highlight w:val="none"/>
          <w:lang w:val="en-US" w:eastAsia="zh-CN"/>
        </w:rPr>
        <w:t>关于印发《淄博高新区推进“四减四增”行动方案》的通知</w:t>
      </w:r>
    </w:p>
    <w:p>
      <w:pPr>
        <w:snapToGrid w:val="0"/>
        <w:spacing w:line="580" w:lineRule="exact"/>
        <w:jc w:val="both"/>
        <w:rPr>
          <w:rFonts w:hint="default" w:ascii="Times New Roman" w:hAnsi="Times New Roman" w:eastAsia="仿宋_GB2312" w:cs="Times New Roman"/>
          <w:color w:val="auto"/>
          <w:sz w:val="32"/>
          <w:szCs w:val="32"/>
          <w:highlight w:val="none"/>
        </w:rPr>
      </w:pPr>
    </w:p>
    <w:p>
      <w:pPr>
        <w:snapToGrid w:val="0"/>
        <w:spacing w:line="580" w:lineRule="exact"/>
        <w:jc w:val="both"/>
        <w:rPr>
          <w:rFonts w:hint="default" w:ascii="Times New Roman" w:hAnsi="Times New Roman" w:eastAsia="仿宋_GB2312" w:cs="Times New Roman"/>
          <w:color w:val="auto"/>
          <w:sz w:val="32"/>
          <w:szCs w:val="32"/>
          <w:highlight w:val="none"/>
        </w:rPr>
      </w:pPr>
      <w:r>
        <w:rPr>
          <w:rFonts w:hint="default" w:ascii="Times New Roman" w:hAnsi="Times New Roman" w:eastAsia="仿宋" w:cs="Times New Roman"/>
          <w:sz w:val="32"/>
          <w:szCs w:val="32"/>
        </w:rPr>
        <w:t>各</w:t>
      </w:r>
      <w:r>
        <w:rPr>
          <w:rFonts w:hint="eastAsia" w:eastAsia="仿宋" w:cs="Times New Roman"/>
          <w:sz w:val="32"/>
          <w:szCs w:val="32"/>
          <w:lang w:eastAsia="zh-CN"/>
        </w:rPr>
        <w:t>委、</w:t>
      </w:r>
      <w:r>
        <w:rPr>
          <w:rFonts w:hint="default" w:ascii="Times New Roman" w:hAnsi="Times New Roman" w:eastAsia="仿宋" w:cs="Times New Roman"/>
          <w:sz w:val="32"/>
          <w:szCs w:val="32"/>
        </w:rPr>
        <w:t>部、局，各直属企事业单位，各园区、办事处，市驻区各部门、单位，各有关单位：</w:t>
      </w:r>
    </w:p>
    <w:p>
      <w:pPr>
        <w:spacing w:line="520" w:lineRule="atLeast"/>
        <w:ind w:firstLine="640" w:firstLineChars="200"/>
        <w:rPr>
          <w:rFonts w:hint="default" w:ascii="Times New Roman" w:hAnsi="Times New Roman" w:eastAsia="仿宋_GB2312" w:cs="Times New Roman"/>
          <w:color w:val="auto"/>
          <w:kern w:val="0"/>
          <w:sz w:val="32"/>
          <w:szCs w:val="32"/>
          <w:highlight w:val="none"/>
          <w:lang w:val="en-US" w:eastAsia="zh-CN" w:bidi="ar"/>
        </w:rPr>
      </w:pPr>
      <w:r>
        <w:rPr>
          <w:rFonts w:hint="default" w:ascii="Times New Roman" w:hAnsi="Times New Roman" w:eastAsia="仿宋_GB2312" w:cs="Times New Roman"/>
          <w:color w:val="auto"/>
          <w:kern w:val="0"/>
          <w:sz w:val="32"/>
          <w:szCs w:val="32"/>
          <w:highlight w:val="none"/>
          <w:lang w:val="en-US" w:eastAsia="zh-CN" w:bidi="ar"/>
        </w:rPr>
        <w:t>《淄博高新区推进“四减四增”行动方案</w:t>
      </w:r>
      <w:r>
        <w:rPr>
          <w:rFonts w:hint="default" w:ascii="Times New Roman" w:hAnsi="Times New Roman" w:eastAsia="仿宋_GB2312" w:cs="Times New Roman"/>
          <w:color w:val="auto"/>
          <w:kern w:val="2"/>
          <w:sz w:val="32"/>
          <w:szCs w:val="32"/>
          <w:highlight w:val="none"/>
          <w:lang w:val="en-US" w:eastAsia="zh-CN" w:bidi="ar-SA"/>
        </w:rPr>
        <w:t>》</w:t>
      </w:r>
      <w:r>
        <w:rPr>
          <w:rFonts w:hint="eastAsia" w:ascii="Times New Roman" w:hAnsi="Times New Roman" w:eastAsia="仿宋_GB2312" w:cs="Times New Roman"/>
          <w:color w:val="auto"/>
          <w:kern w:val="0"/>
          <w:sz w:val="32"/>
          <w:szCs w:val="32"/>
          <w:highlight w:val="none"/>
          <w:lang w:val="en-US" w:eastAsia="zh-CN" w:bidi="ar"/>
        </w:rPr>
        <w:t>已经</w:t>
      </w:r>
      <w:r>
        <w:rPr>
          <w:rFonts w:hint="eastAsia" w:eastAsia="仿宋_GB2312" w:cs="Times New Roman"/>
          <w:color w:val="auto"/>
          <w:kern w:val="0"/>
          <w:sz w:val="32"/>
          <w:szCs w:val="32"/>
          <w:highlight w:val="none"/>
          <w:lang w:val="en-US" w:eastAsia="zh-CN" w:bidi="ar"/>
        </w:rPr>
        <w:t>淄博</w:t>
      </w:r>
      <w:r>
        <w:rPr>
          <w:rFonts w:hint="eastAsia" w:ascii="Times New Roman" w:hAnsi="Times New Roman" w:eastAsia="仿宋_GB2312" w:cs="Times New Roman"/>
          <w:color w:val="auto"/>
          <w:kern w:val="0"/>
          <w:sz w:val="32"/>
          <w:szCs w:val="32"/>
          <w:highlight w:val="none"/>
          <w:lang w:val="en-US" w:eastAsia="zh-CN" w:bidi="ar"/>
        </w:rPr>
        <w:t>高新区〔201</w:t>
      </w:r>
      <w:r>
        <w:rPr>
          <w:rFonts w:hint="eastAsia" w:eastAsia="仿宋_GB2312" w:cs="Times New Roman"/>
          <w:color w:val="auto"/>
          <w:kern w:val="0"/>
          <w:sz w:val="32"/>
          <w:szCs w:val="32"/>
          <w:highlight w:val="none"/>
          <w:lang w:val="en-US" w:eastAsia="zh-CN" w:bidi="ar"/>
        </w:rPr>
        <w:t>9</w:t>
      </w:r>
      <w:r>
        <w:rPr>
          <w:rFonts w:hint="eastAsia" w:ascii="Times New Roman" w:hAnsi="Times New Roman" w:eastAsia="仿宋_GB2312" w:cs="Times New Roman"/>
          <w:color w:val="auto"/>
          <w:kern w:val="0"/>
          <w:sz w:val="32"/>
          <w:szCs w:val="32"/>
          <w:highlight w:val="none"/>
          <w:lang w:val="en-US" w:eastAsia="zh-CN" w:bidi="ar"/>
        </w:rPr>
        <w:t>〕第</w:t>
      </w:r>
      <w:r>
        <w:rPr>
          <w:rFonts w:hint="eastAsia" w:eastAsia="仿宋_GB2312" w:cs="Times New Roman"/>
          <w:color w:val="auto"/>
          <w:kern w:val="0"/>
          <w:sz w:val="32"/>
          <w:szCs w:val="32"/>
          <w:highlight w:val="none"/>
          <w:lang w:val="en-US" w:eastAsia="zh-CN" w:bidi="ar"/>
        </w:rPr>
        <w:t>7</w:t>
      </w:r>
      <w:r>
        <w:rPr>
          <w:rFonts w:hint="eastAsia" w:ascii="Times New Roman" w:hAnsi="Times New Roman" w:eastAsia="仿宋_GB2312" w:cs="Times New Roman"/>
          <w:color w:val="auto"/>
          <w:kern w:val="0"/>
          <w:sz w:val="32"/>
          <w:szCs w:val="32"/>
          <w:highlight w:val="none"/>
          <w:lang w:val="en-US" w:eastAsia="zh-CN" w:bidi="ar"/>
        </w:rPr>
        <w:t>次工委会议研究同意</w:t>
      </w:r>
      <w:r>
        <w:rPr>
          <w:rFonts w:hint="default" w:ascii="Times New Roman" w:hAnsi="Times New Roman" w:eastAsia="仿宋_GB2312" w:cs="Times New Roman"/>
          <w:color w:val="auto"/>
          <w:kern w:val="0"/>
          <w:sz w:val="32"/>
          <w:szCs w:val="32"/>
          <w:highlight w:val="none"/>
          <w:lang w:val="en-US" w:eastAsia="zh-CN" w:bidi="ar"/>
        </w:rPr>
        <w:t>，现予以印发，请认真组织实施。</w:t>
      </w:r>
    </w:p>
    <w:p>
      <w:pPr>
        <w:pStyle w:val="4"/>
        <w:keepNext w:val="0"/>
        <w:keepLines w:val="0"/>
        <w:pageBreakBefore w:val="0"/>
        <w:widowControl/>
        <w:suppressLineNumbers w:val="0"/>
        <w:kinsoku/>
        <w:wordWrap/>
        <w:overflowPunct/>
        <w:topLinePunct w:val="0"/>
        <w:autoSpaceDE/>
        <w:autoSpaceDN/>
        <w:bidi w:val="0"/>
        <w:adjustRightInd/>
        <w:spacing w:before="0" w:beforeAutospacing="0" w:after="0" w:afterAutospacing="0" w:line="560" w:lineRule="exact"/>
        <w:ind w:right="0" w:firstLine="640" w:firstLineChars="200"/>
        <w:jc w:val="both"/>
        <w:textAlignment w:val="auto"/>
        <w:outlineLvl w:val="9"/>
        <w:rPr>
          <w:rFonts w:hint="default" w:ascii="Times New Roman" w:hAnsi="Times New Roman" w:eastAsia="仿宋_GB2312" w:cs="Times New Roman"/>
          <w:color w:val="auto"/>
          <w:kern w:val="2"/>
          <w:sz w:val="32"/>
          <w:szCs w:val="32"/>
          <w:highlight w:val="none"/>
          <w:lang w:val="en-US" w:eastAsia="zh-CN" w:bidi="ar-SA"/>
        </w:rPr>
      </w:pPr>
    </w:p>
    <w:p>
      <w:pPr>
        <w:keepNext w:val="0"/>
        <w:keepLines w:val="0"/>
        <w:pageBreakBefore w:val="0"/>
        <w:kinsoku/>
        <w:wordWrap/>
        <w:overflowPunct/>
        <w:topLinePunct w:val="0"/>
        <w:autoSpaceDE/>
        <w:autoSpaceDN/>
        <w:bidi w:val="0"/>
        <w:adjustRightInd/>
        <w:spacing w:line="560" w:lineRule="exact"/>
        <w:jc w:val="both"/>
        <w:textAlignment w:val="auto"/>
        <w:outlineLvl w:val="9"/>
        <w:rPr>
          <w:rFonts w:hint="default" w:ascii="Times New Roman" w:hAnsi="Times New Roman" w:eastAsia="方正小标宋简体" w:cs="Times New Roman"/>
          <w:color w:val="auto"/>
          <w:sz w:val="44"/>
          <w:szCs w:val="44"/>
          <w:highlight w:val="none"/>
          <w:lang w:eastAsia="zh-CN"/>
        </w:rPr>
      </w:pPr>
    </w:p>
    <w:p>
      <w:pPr>
        <w:keepNext w:val="0"/>
        <w:keepLines w:val="0"/>
        <w:pageBreakBefore w:val="0"/>
        <w:kinsoku/>
        <w:wordWrap/>
        <w:overflowPunct/>
        <w:topLinePunct w:val="0"/>
        <w:autoSpaceDE/>
        <w:autoSpaceDN/>
        <w:bidi w:val="0"/>
        <w:adjustRightInd/>
        <w:snapToGrid w:val="0"/>
        <w:spacing w:line="560" w:lineRule="exact"/>
        <w:jc w:val="both"/>
        <w:textAlignment w:val="auto"/>
        <w:outlineLvl w:val="9"/>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wordWrap/>
        <w:overflowPunct/>
        <w:topLinePunct w:val="0"/>
        <w:autoSpaceDE/>
        <w:autoSpaceDN/>
        <w:bidi w:val="0"/>
        <w:adjustRightInd/>
        <w:snapToGrid w:val="0"/>
        <w:spacing w:line="560" w:lineRule="exact"/>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eastAsia" w:eastAsia="仿宋_GB2312" w:cs="Times New Roman"/>
          <w:color w:val="auto"/>
          <w:sz w:val="32"/>
          <w:szCs w:val="32"/>
          <w:highlight w:val="none"/>
          <w:lang w:val="en-US" w:eastAsia="zh-CN"/>
        </w:rPr>
        <w:t xml:space="preserve">                   中共淄博市委淄博高新区工作委员会</w:t>
      </w:r>
    </w:p>
    <w:p>
      <w:pPr>
        <w:keepNext w:val="0"/>
        <w:keepLines w:val="0"/>
        <w:pageBreakBefore w:val="0"/>
        <w:kinsoku/>
        <w:wordWrap/>
        <w:overflowPunct/>
        <w:topLinePunct w:val="0"/>
        <w:autoSpaceDE/>
        <w:autoSpaceDN/>
        <w:bidi w:val="0"/>
        <w:adjustRightInd/>
        <w:spacing w:line="560" w:lineRule="exact"/>
        <w:jc w:val="both"/>
        <w:textAlignment w:val="auto"/>
        <w:outlineLvl w:val="9"/>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仿宋" w:cs="Times New Roman"/>
          <w:sz w:val="32"/>
          <w:szCs w:val="32"/>
          <w:lang w:val="en-US" w:eastAsia="zh-CN"/>
        </w:rPr>
        <w:t xml:space="preserve">                   淄博高新技术产业开发区管理委员会   </w:t>
      </w:r>
    </w:p>
    <w:p>
      <w:pPr>
        <w:spacing w:line="560" w:lineRule="exact"/>
        <w:jc w:val="center"/>
        <w:rPr>
          <w:rFonts w:hint="eastAsia" w:eastAsia="方正小标宋简体"/>
          <w:color w:val="000000"/>
          <w:kern w:val="0"/>
          <w:sz w:val="44"/>
          <w:szCs w:val="44"/>
        </w:rPr>
      </w:pPr>
      <w:r>
        <w:rPr>
          <w:rFonts w:hint="default" w:ascii="Times New Roman" w:hAnsi="Times New Roman" w:eastAsia="方正小标宋简体" w:cs="Times New Roman"/>
          <w:color w:val="auto"/>
          <w:sz w:val="44"/>
          <w:szCs w:val="44"/>
          <w:highlight w:val="none"/>
          <w:lang w:val="en-US" w:eastAsia="zh-CN"/>
        </w:rPr>
        <w:t xml:space="preserve">        </w:t>
      </w:r>
      <w:r>
        <w:rPr>
          <w:rFonts w:hint="default" w:ascii="Times New Roman" w:hAnsi="Times New Roman" w:eastAsia="仿宋_GB2312" w:cs="Times New Roman"/>
          <w:color w:val="auto"/>
          <w:sz w:val="32"/>
          <w:szCs w:val="32"/>
          <w:highlight w:val="none"/>
          <w:lang w:val="en-US" w:eastAsia="zh-CN"/>
        </w:rPr>
        <w:t xml:space="preserve">    2019年</w:t>
      </w:r>
      <w:r>
        <w:rPr>
          <w:rFonts w:hint="eastAsia"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lang w:val="en-US" w:eastAsia="zh-CN"/>
        </w:rPr>
        <w:t>月</w:t>
      </w:r>
      <w:r>
        <w:rPr>
          <w:rFonts w:hint="eastAsia" w:eastAsia="仿宋_GB2312" w:cs="Times New Roman"/>
          <w:color w:val="auto"/>
          <w:sz w:val="32"/>
          <w:szCs w:val="32"/>
          <w:highlight w:val="none"/>
          <w:lang w:val="en-US" w:eastAsia="zh-CN"/>
        </w:rPr>
        <w:t>26</w:t>
      </w:r>
      <w:r>
        <w:rPr>
          <w:rFonts w:hint="default" w:ascii="Times New Roman" w:hAnsi="Times New Roman" w:eastAsia="仿宋_GB2312" w:cs="Times New Roman"/>
          <w:color w:val="auto"/>
          <w:sz w:val="32"/>
          <w:szCs w:val="32"/>
          <w:highlight w:val="none"/>
          <w:lang w:val="en-US" w:eastAsia="zh-CN"/>
        </w:rPr>
        <w:t>日</w:t>
      </w:r>
    </w:p>
    <w:p>
      <w:pPr>
        <w:spacing w:line="560" w:lineRule="exact"/>
        <w:jc w:val="center"/>
        <w:rPr>
          <w:rFonts w:hint="eastAsia" w:eastAsia="方正小标宋简体"/>
          <w:color w:val="000000"/>
          <w:kern w:val="0"/>
          <w:sz w:val="44"/>
          <w:szCs w:val="44"/>
        </w:rPr>
      </w:pPr>
    </w:p>
    <w:p>
      <w:pPr>
        <w:spacing w:line="560" w:lineRule="exact"/>
        <w:jc w:val="center"/>
        <w:rPr>
          <w:rFonts w:hint="eastAsia" w:eastAsia="方正小标宋简体"/>
          <w:color w:val="000000"/>
          <w:kern w:val="0"/>
          <w:sz w:val="44"/>
          <w:szCs w:val="44"/>
        </w:rPr>
      </w:pPr>
    </w:p>
    <w:p>
      <w:pPr>
        <w:spacing w:line="560" w:lineRule="exact"/>
        <w:jc w:val="both"/>
        <w:rPr>
          <w:rFonts w:hint="eastAsia" w:eastAsia="方正小标宋简体"/>
          <w:color w:val="000000"/>
          <w:kern w:val="0"/>
          <w:sz w:val="44"/>
          <w:szCs w:val="44"/>
        </w:rPr>
      </w:pPr>
    </w:p>
    <w:p>
      <w:pPr>
        <w:spacing w:line="560" w:lineRule="exact"/>
        <w:jc w:val="center"/>
        <w:rPr>
          <w:rFonts w:eastAsia="方正小标宋简体"/>
          <w:color w:val="000000"/>
          <w:sz w:val="44"/>
          <w:szCs w:val="44"/>
        </w:rPr>
      </w:pPr>
      <w:r>
        <w:rPr>
          <w:rFonts w:hint="eastAsia" w:eastAsia="方正小标宋简体"/>
          <w:color w:val="000000"/>
          <w:kern w:val="0"/>
          <w:sz w:val="44"/>
          <w:szCs w:val="44"/>
        </w:rPr>
        <w:t>淄博高新区推进</w:t>
      </w:r>
      <w:r>
        <w:rPr>
          <w:rFonts w:eastAsia="方正小标宋简体"/>
          <w:color w:val="000000"/>
          <w:kern w:val="0"/>
          <w:sz w:val="44"/>
          <w:szCs w:val="44"/>
        </w:rPr>
        <w:t>“</w:t>
      </w:r>
      <w:r>
        <w:rPr>
          <w:rFonts w:hint="eastAsia" w:eastAsia="方正小标宋简体"/>
          <w:color w:val="000000"/>
          <w:kern w:val="0"/>
          <w:sz w:val="44"/>
          <w:szCs w:val="44"/>
        </w:rPr>
        <w:t>四减四增</w:t>
      </w:r>
      <w:r>
        <w:rPr>
          <w:rFonts w:eastAsia="方正小标宋简体"/>
          <w:color w:val="000000"/>
          <w:kern w:val="0"/>
          <w:sz w:val="44"/>
          <w:szCs w:val="44"/>
        </w:rPr>
        <w:t>”</w:t>
      </w:r>
      <w:r>
        <w:rPr>
          <w:rFonts w:hint="eastAsia" w:eastAsia="方正小标宋简体"/>
          <w:color w:val="000000"/>
          <w:kern w:val="0"/>
          <w:sz w:val="44"/>
          <w:szCs w:val="44"/>
        </w:rPr>
        <w:t>行动方案</w:t>
      </w:r>
    </w:p>
    <w:p>
      <w:pPr>
        <w:spacing w:line="560" w:lineRule="exact"/>
        <w:ind w:firstLine="640" w:firstLineChars="200"/>
        <w:rPr>
          <w:rFonts w:eastAsia="仿宋"/>
          <w:color w:val="000000"/>
          <w:sz w:val="32"/>
          <w:szCs w:val="32"/>
        </w:rPr>
      </w:pPr>
    </w:p>
    <w:p>
      <w:pPr>
        <w:spacing w:line="560" w:lineRule="exact"/>
        <w:ind w:firstLine="640" w:firstLineChars="200"/>
        <w:rPr>
          <w:rFonts w:eastAsia="仿宋_GB2312"/>
          <w:color w:val="000000"/>
          <w:sz w:val="32"/>
          <w:szCs w:val="32"/>
        </w:rPr>
      </w:pPr>
      <w:r>
        <w:rPr>
          <w:rFonts w:hint="eastAsia" w:eastAsia="仿宋_GB2312"/>
          <w:color w:val="000000"/>
          <w:sz w:val="32"/>
          <w:szCs w:val="32"/>
          <w:lang w:eastAsia="zh-CN"/>
        </w:rPr>
        <w:t>按照</w:t>
      </w:r>
      <w:r>
        <w:rPr>
          <w:rFonts w:hint="eastAsia" w:eastAsia="仿宋_GB2312"/>
          <w:color w:val="000000"/>
          <w:sz w:val="32"/>
          <w:szCs w:val="32"/>
        </w:rPr>
        <w:t>《中共山东省委、山东省人民政府关于印发〈山东省加强污染源头防治推进</w:t>
      </w:r>
      <w:r>
        <w:rPr>
          <w:rFonts w:eastAsia="仿宋_GB2312"/>
          <w:color w:val="000000"/>
          <w:sz w:val="32"/>
          <w:szCs w:val="32"/>
        </w:rPr>
        <w:t>“</w:t>
      </w:r>
      <w:r>
        <w:rPr>
          <w:rFonts w:hint="eastAsia" w:eastAsia="仿宋_GB2312"/>
          <w:color w:val="000000"/>
          <w:sz w:val="32"/>
          <w:szCs w:val="32"/>
        </w:rPr>
        <w:t>四减四增</w:t>
      </w:r>
      <w:r>
        <w:rPr>
          <w:rFonts w:eastAsia="仿宋_GB2312"/>
          <w:color w:val="000000"/>
          <w:sz w:val="32"/>
          <w:szCs w:val="32"/>
        </w:rPr>
        <w:t>”</w:t>
      </w:r>
      <w:r>
        <w:rPr>
          <w:rFonts w:hint="eastAsia" w:eastAsia="仿宋_GB2312"/>
          <w:color w:val="000000"/>
          <w:sz w:val="32"/>
          <w:szCs w:val="32"/>
        </w:rPr>
        <w:t>三年行动方案（</w:t>
      </w:r>
      <w:r>
        <w:rPr>
          <w:rFonts w:eastAsia="仿宋_GB2312"/>
          <w:color w:val="000000"/>
          <w:sz w:val="32"/>
          <w:szCs w:val="32"/>
        </w:rPr>
        <w:t>2018</w:t>
      </w:r>
      <w:r>
        <w:rPr>
          <w:rFonts w:hint="eastAsia" w:eastAsia="仿宋_GB2312"/>
          <w:color w:val="000000"/>
          <w:sz w:val="32"/>
          <w:szCs w:val="32"/>
        </w:rPr>
        <w:t>－</w:t>
      </w:r>
      <w:r>
        <w:rPr>
          <w:rFonts w:eastAsia="仿宋_GB2312"/>
          <w:color w:val="000000"/>
          <w:sz w:val="32"/>
          <w:szCs w:val="32"/>
        </w:rPr>
        <w:t>2020</w:t>
      </w:r>
      <w:r>
        <w:rPr>
          <w:rFonts w:hint="eastAsia" w:eastAsia="仿宋_GB2312"/>
          <w:color w:val="000000"/>
          <w:sz w:val="32"/>
          <w:szCs w:val="32"/>
        </w:rPr>
        <w:t>年）〉的通知》（鲁发〔</w:t>
      </w:r>
      <w:r>
        <w:rPr>
          <w:rFonts w:eastAsia="仿宋_GB2312"/>
          <w:color w:val="000000"/>
          <w:sz w:val="32"/>
          <w:szCs w:val="32"/>
        </w:rPr>
        <w:t>2018</w:t>
      </w:r>
      <w:r>
        <w:rPr>
          <w:rFonts w:hint="eastAsia" w:eastAsia="仿宋_GB2312"/>
          <w:color w:val="000000"/>
          <w:sz w:val="32"/>
          <w:szCs w:val="32"/>
        </w:rPr>
        <w:t>〕</w:t>
      </w:r>
      <w:r>
        <w:rPr>
          <w:rFonts w:eastAsia="仿宋_GB2312"/>
          <w:color w:val="000000"/>
          <w:sz w:val="32"/>
          <w:szCs w:val="32"/>
        </w:rPr>
        <w:t>36</w:t>
      </w:r>
      <w:r>
        <w:rPr>
          <w:rFonts w:hint="eastAsia" w:eastAsia="仿宋_GB2312"/>
          <w:color w:val="000000"/>
          <w:sz w:val="32"/>
          <w:szCs w:val="32"/>
        </w:rPr>
        <w:t>号）《中共淄博市委、淄博市人民政府关于印发〈淄博市推进</w:t>
      </w:r>
      <w:r>
        <w:rPr>
          <w:rFonts w:eastAsia="仿宋_GB2312"/>
          <w:color w:val="000000"/>
          <w:sz w:val="32"/>
          <w:szCs w:val="32"/>
        </w:rPr>
        <w:t>“</w:t>
      </w:r>
      <w:r>
        <w:rPr>
          <w:rFonts w:hint="eastAsia" w:eastAsia="仿宋_GB2312"/>
          <w:color w:val="000000"/>
          <w:sz w:val="32"/>
          <w:szCs w:val="32"/>
        </w:rPr>
        <w:t>四减四增</w:t>
      </w:r>
      <w:r>
        <w:rPr>
          <w:rFonts w:eastAsia="仿宋_GB2312"/>
          <w:color w:val="000000"/>
          <w:sz w:val="32"/>
          <w:szCs w:val="32"/>
        </w:rPr>
        <w:t>”</w:t>
      </w:r>
      <w:r>
        <w:rPr>
          <w:rFonts w:hint="eastAsia" w:eastAsia="仿宋_GB2312"/>
          <w:color w:val="000000"/>
          <w:sz w:val="32"/>
          <w:szCs w:val="32"/>
        </w:rPr>
        <w:t>三年行动方案（</w:t>
      </w:r>
      <w:r>
        <w:rPr>
          <w:rFonts w:eastAsia="仿宋_GB2312"/>
          <w:color w:val="000000"/>
          <w:sz w:val="32"/>
          <w:szCs w:val="32"/>
        </w:rPr>
        <w:t>2018</w:t>
      </w:r>
      <w:r>
        <w:rPr>
          <w:rFonts w:hint="eastAsia" w:eastAsia="仿宋_GB2312"/>
          <w:color w:val="000000"/>
          <w:sz w:val="32"/>
          <w:szCs w:val="32"/>
        </w:rPr>
        <w:t>－</w:t>
      </w:r>
      <w:r>
        <w:rPr>
          <w:rFonts w:eastAsia="仿宋_GB2312"/>
          <w:color w:val="000000"/>
          <w:sz w:val="32"/>
          <w:szCs w:val="32"/>
        </w:rPr>
        <w:t>2020</w:t>
      </w:r>
      <w:r>
        <w:rPr>
          <w:rFonts w:hint="eastAsia" w:eastAsia="仿宋_GB2312"/>
          <w:color w:val="000000"/>
          <w:sz w:val="32"/>
          <w:szCs w:val="32"/>
        </w:rPr>
        <w:t>年）〉的通知》（淄发〔</w:t>
      </w:r>
      <w:r>
        <w:rPr>
          <w:rFonts w:eastAsia="仿宋_GB2312"/>
          <w:color w:val="000000"/>
          <w:sz w:val="32"/>
          <w:szCs w:val="32"/>
        </w:rPr>
        <w:t>2018</w:t>
      </w:r>
      <w:r>
        <w:rPr>
          <w:rFonts w:hint="eastAsia" w:eastAsia="仿宋_GB2312"/>
          <w:color w:val="000000"/>
          <w:sz w:val="32"/>
          <w:szCs w:val="32"/>
        </w:rPr>
        <w:t>〕</w:t>
      </w:r>
      <w:r>
        <w:rPr>
          <w:rFonts w:eastAsia="仿宋_GB2312"/>
          <w:color w:val="000000"/>
          <w:sz w:val="32"/>
          <w:szCs w:val="32"/>
        </w:rPr>
        <w:t>49</w:t>
      </w:r>
      <w:r>
        <w:rPr>
          <w:rFonts w:hint="eastAsia" w:eastAsia="仿宋_GB2312"/>
          <w:color w:val="000000"/>
          <w:sz w:val="32"/>
          <w:szCs w:val="32"/>
        </w:rPr>
        <w:t>号）要求，结合高新区实际，制定</w:t>
      </w:r>
      <w:r>
        <w:rPr>
          <w:rFonts w:hint="default" w:ascii="Times New Roman" w:hAnsi="Times New Roman" w:eastAsia="仿宋_GB2312" w:cs="Times New Roman"/>
          <w:color w:val="auto"/>
          <w:kern w:val="0"/>
          <w:sz w:val="32"/>
          <w:szCs w:val="32"/>
          <w:highlight w:val="none"/>
          <w:lang w:val="en-US" w:eastAsia="zh-CN" w:bidi="ar"/>
        </w:rPr>
        <w:t>《淄博高新区推进“四减四增”行动方案</w:t>
      </w:r>
      <w:r>
        <w:rPr>
          <w:rFonts w:hint="default" w:ascii="Times New Roman" w:hAnsi="Times New Roman" w:eastAsia="仿宋_GB2312" w:cs="Times New Roman"/>
          <w:color w:val="auto"/>
          <w:kern w:val="2"/>
          <w:sz w:val="32"/>
          <w:szCs w:val="32"/>
          <w:highlight w:val="none"/>
          <w:lang w:val="en-US" w:eastAsia="zh-CN" w:bidi="ar-SA"/>
        </w:rPr>
        <w:t>》</w:t>
      </w:r>
      <w:r>
        <w:rPr>
          <w:rFonts w:hint="eastAsia" w:eastAsia="仿宋_GB2312"/>
          <w:color w:val="000000"/>
          <w:sz w:val="32"/>
          <w:szCs w:val="32"/>
        </w:rPr>
        <w:t>。</w:t>
      </w:r>
    </w:p>
    <w:p>
      <w:pPr>
        <w:pStyle w:val="4"/>
        <w:spacing w:beforeAutospacing="0" w:afterAutospacing="0" w:line="560" w:lineRule="exact"/>
        <w:ind w:firstLine="645"/>
        <w:jc w:val="both"/>
        <w:rPr>
          <w:rFonts w:eastAsia="微软雅黑"/>
          <w:color w:val="000000"/>
          <w:sz w:val="32"/>
          <w:szCs w:val="32"/>
        </w:rPr>
      </w:pPr>
      <w:r>
        <w:rPr>
          <w:rFonts w:hint="eastAsia" w:eastAsia="黑体"/>
          <w:color w:val="000000"/>
          <w:sz w:val="32"/>
          <w:szCs w:val="32"/>
        </w:rPr>
        <w:t>一、总体思路和主要目标</w:t>
      </w:r>
    </w:p>
    <w:p>
      <w:pPr>
        <w:pStyle w:val="4"/>
        <w:spacing w:beforeAutospacing="0" w:afterAutospacing="0" w:line="560" w:lineRule="exact"/>
        <w:ind w:firstLine="646"/>
        <w:jc w:val="both"/>
        <w:rPr>
          <w:rFonts w:eastAsia="仿宋_GB2312"/>
          <w:color w:val="000000"/>
          <w:kern w:val="2"/>
          <w:sz w:val="32"/>
          <w:szCs w:val="32"/>
        </w:rPr>
      </w:pPr>
      <w:r>
        <w:rPr>
          <w:rFonts w:hint="eastAsia" w:eastAsia="楷体_GB2312"/>
          <w:color w:val="000000"/>
          <w:kern w:val="2"/>
          <w:sz w:val="32"/>
          <w:szCs w:val="32"/>
        </w:rPr>
        <w:t>（一）总体思路。</w:t>
      </w:r>
      <w:r>
        <w:rPr>
          <w:rFonts w:hint="eastAsia" w:eastAsia="仿宋_GB2312"/>
          <w:color w:val="000000"/>
          <w:kern w:val="2"/>
          <w:sz w:val="32"/>
          <w:szCs w:val="32"/>
        </w:rPr>
        <w:t>以习近平新时代中国特色社会主义思想为指导，全面贯彻党的十九大和十九届二中、三中全会精神，认真落实国家关于打好污染防治攻坚战的决策部署和省市有关要求，坚持源头防控，努力调整</w:t>
      </w:r>
      <w:r>
        <w:rPr>
          <w:rFonts w:eastAsia="仿宋_GB2312"/>
          <w:color w:val="000000"/>
          <w:kern w:val="2"/>
          <w:sz w:val="32"/>
          <w:szCs w:val="32"/>
        </w:rPr>
        <w:t>“</w:t>
      </w:r>
      <w:r>
        <w:rPr>
          <w:rFonts w:hint="eastAsia" w:eastAsia="仿宋_GB2312"/>
          <w:color w:val="000000"/>
          <w:kern w:val="2"/>
          <w:sz w:val="32"/>
          <w:szCs w:val="32"/>
        </w:rPr>
        <w:t>四个结构</w:t>
      </w:r>
      <w:r>
        <w:rPr>
          <w:rFonts w:eastAsia="仿宋_GB2312"/>
          <w:color w:val="000000"/>
          <w:kern w:val="2"/>
          <w:sz w:val="32"/>
          <w:szCs w:val="32"/>
        </w:rPr>
        <w:t>”</w:t>
      </w:r>
      <w:r>
        <w:rPr>
          <w:rFonts w:hint="eastAsia" w:eastAsia="仿宋_GB2312"/>
          <w:color w:val="000000"/>
          <w:kern w:val="2"/>
          <w:sz w:val="32"/>
          <w:szCs w:val="32"/>
        </w:rPr>
        <w:t>，切实做到</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调整产业结构，减少过剩和落后产业，增加新的增长动能；调整能源结构，减少煤炭消费，增加清洁能源使用；调整运输结构，减少公路运输量，增加铁路运输量；调整农业投入结构，减少化肥农药使用量，增加有机肥使用量）。进一步推进污染物排放总量大幅减少，推进新旧动能转换，推进高质量发展，推进形成节约资源和保护环境的产业结构、空间格局、生产方式、生活方式，为加快生态淄博高新区建设奠定坚实基础。</w:t>
      </w:r>
    </w:p>
    <w:p>
      <w:pPr>
        <w:pStyle w:val="4"/>
        <w:spacing w:beforeAutospacing="0" w:afterAutospacing="0" w:line="560" w:lineRule="exact"/>
        <w:ind w:firstLine="646"/>
        <w:jc w:val="both"/>
        <w:rPr>
          <w:rFonts w:eastAsia="仿宋_GB2312"/>
          <w:color w:val="000000"/>
          <w:kern w:val="2"/>
          <w:sz w:val="32"/>
          <w:szCs w:val="32"/>
        </w:rPr>
      </w:pPr>
      <w:r>
        <w:rPr>
          <w:rFonts w:hint="eastAsia" w:eastAsia="楷体_GB2312"/>
          <w:color w:val="000000"/>
          <w:kern w:val="2"/>
          <w:sz w:val="32"/>
          <w:szCs w:val="32"/>
        </w:rPr>
        <w:t>（二）主要目标。</w:t>
      </w:r>
      <w:r>
        <w:rPr>
          <w:rFonts w:hint="eastAsia" w:eastAsia="仿宋_GB2312"/>
          <w:color w:val="000000"/>
          <w:kern w:val="2"/>
          <w:sz w:val="32"/>
          <w:szCs w:val="32"/>
        </w:rPr>
        <w:t>到</w:t>
      </w:r>
      <w:r>
        <w:rPr>
          <w:rFonts w:eastAsia="仿宋_GB2312"/>
          <w:color w:val="000000"/>
          <w:kern w:val="2"/>
          <w:sz w:val="32"/>
          <w:szCs w:val="32"/>
        </w:rPr>
        <w:t>2020</w:t>
      </w:r>
      <w:r>
        <w:rPr>
          <w:rFonts w:hint="eastAsia" w:eastAsia="仿宋_GB2312"/>
          <w:color w:val="000000"/>
          <w:kern w:val="2"/>
          <w:sz w:val="32"/>
          <w:szCs w:val="32"/>
        </w:rPr>
        <w:t>年，产业、能源、运输和农业投入结构持续优化，主要污染物排放总量大幅减少，生态环境质量持续改善。节约资源和保护环境的产业结构、能源结构、运输结构和农业投入结构初步形成，绿色、低碳、循环的高质量发展水平明显提升，发展的质量更好、结构更优、效益更高。</w:t>
      </w:r>
    </w:p>
    <w:p>
      <w:pPr>
        <w:spacing w:line="560" w:lineRule="exact"/>
        <w:ind w:firstLine="2240" w:firstLineChars="700"/>
        <w:rPr>
          <w:rFonts w:eastAsia="楷体_GB2312"/>
          <w:color w:val="000000"/>
          <w:sz w:val="32"/>
          <w:szCs w:val="32"/>
        </w:rPr>
      </w:pPr>
      <w:r>
        <w:rPr>
          <w:rFonts w:hint="eastAsia" w:eastAsia="楷体_GB2312"/>
          <w:color w:val="000000"/>
          <w:sz w:val="32"/>
          <w:szCs w:val="32"/>
        </w:rPr>
        <w:t>专栏</w:t>
      </w:r>
      <w:r>
        <w:rPr>
          <w:rFonts w:eastAsia="楷体_GB2312"/>
          <w:color w:val="000000"/>
          <w:sz w:val="32"/>
          <w:szCs w:val="32"/>
        </w:rPr>
        <w:t xml:space="preserve">  </w:t>
      </w:r>
      <w:r>
        <w:rPr>
          <w:rFonts w:hint="eastAsia" w:eastAsia="楷体_GB2312"/>
          <w:color w:val="000000"/>
          <w:sz w:val="32"/>
          <w:szCs w:val="32"/>
        </w:rPr>
        <w:t>行动方案指标体系</w:t>
      </w:r>
    </w:p>
    <w:tbl>
      <w:tblPr>
        <w:tblStyle w:val="7"/>
        <w:tblW w:w="852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3"/>
        <w:gridCol w:w="4693"/>
        <w:gridCol w:w="26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7" w:hRule="atLeast"/>
          <w:jc w:val="center"/>
        </w:trPr>
        <w:tc>
          <w:tcPr>
            <w:tcW w:w="5856" w:type="dxa"/>
            <w:gridSpan w:val="2"/>
            <w:vAlign w:val="center"/>
          </w:tcPr>
          <w:p>
            <w:pPr>
              <w:spacing w:line="400" w:lineRule="exact"/>
              <w:jc w:val="center"/>
              <w:rPr>
                <w:rFonts w:eastAsia="黑体"/>
                <w:bCs/>
                <w:color w:val="000000"/>
                <w:sz w:val="24"/>
              </w:rPr>
            </w:pPr>
            <w:r>
              <w:rPr>
                <w:rFonts w:hint="eastAsia" w:eastAsia="黑体"/>
                <w:bCs/>
                <w:color w:val="000000"/>
                <w:sz w:val="24"/>
              </w:rPr>
              <w:t>目标任务</w:t>
            </w:r>
          </w:p>
        </w:tc>
        <w:tc>
          <w:tcPr>
            <w:tcW w:w="2666" w:type="dxa"/>
            <w:vAlign w:val="center"/>
          </w:tcPr>
          <w:p>
            <w:pPr>
              <w:spacing w:line="400" w:lineRule="exact"/>
              <w:jc w:val="center"/>
              <w:rPr>
                <w:rFonts w:eastAsia="黑体"/>
                <w:bCs/>
                <w:color w:val="000000"/>
                <w:sz w:val="24"/>
              </w:rPr>
            </w:pPr>
            <w:r>
              <w:rPr>
                <w:rFonts w:eastAsia="黑体"/>
                <w:bCs/>
                <w:color w:val="000000"/>
                <w:sz w:val="24"/>
              </w:rPr>
              <w:t>2020</w:t>
            </w:r>
            <w:r>
              <w:rPr>
                <w:rFonts w:hint="eastAsia" w:eastAsia="黑体"/>
                <w:bCs/>
                <w:color w:val="000000"/>
                <w:sz w:val="24"/>
              </w:rPr>
              <w:t>年目标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 w:hRule="atLeast"/>
          <w:jc w:val="center"/>
        </w:trPr>
        <w:tc>
          <w:tcPr>
            <w:tcW w:w="1163" w:type="dxa"/>
            <w:vMerge w:val="restart"/>
            <w:vAlign w:val="center"/>
          </w:tcPr>
          <w:p>
            <w:pPr>
              <w:spacing w:line="400" w:lineRule="exact"/>
              <w:jc w:val="center"/>
              <w:rPr>
                <w:rFonts w:eastAsia="仿宋_GB2312"/>
                <w:color w:val="000000"/>
                <w:sz w:val="24"/>
              </w:rPr>
            </w:pPr>
            <w:r>
              <w:rPr>
                <w:rFonts w:hint="eastAsia" w:eastAsia="仿宋_GB2312"/>
                <w:color w:val="000000"/>
                <w:sz w:val="24"/>
              </w:rPr>
              <w:t>产业</w:t>
            </w:r>
          </w:p>
          <w:p>
            <w:pPr>
              <w:spacing w:line="400" w:lineRule="exact"/>
              <w:jc w:val="center"/>
              <w:rPr>
                <w:rFonts w:eastAsia="仿宋_GB2312"/>
                <w:color w:val="000000"/>
                <w:sz w:val="24"/>
              </w:rPr>
            </w:pPr>
            <w:r>
              <w:rPr>
                <w:rFonts w:hint="eastAsia" w:eastAsia="仿宋_GB2312"/>
                <w:color w:val="000000"/>
                <w:sz w:val="24"/>
              </w:rPr>
              <w:t>结构</w:t>
            </w:r>
          </w:p>
        </w:tc>
        <w:tc>
          <w:tcPr>
            <w:tcW w:w="4693" w:type="dxa"/>
            <w:vAlign w:val="center"/>
          </w:tcPr>
          <w:p>
            <w:pPr>
              <w:spacing w:line="400" w:lineRule="exact"/>
              <w:rPr>
                <w:rFonts w:eastAsia="仿宋_GB2312"/>
                <w:color w:val="000000"/>
                <w:sz w:val="24"/>
              </w:rPr>
            </w:pPr>
            <w:r>
              <w:rPr>
                <w:rFonts w:hint="eastAsia" w:eastAsia="仿宋_GB2312"/>
                <w:color w:val="000000"/>
                <w:sz w:val="24"/>
              </w:rPr>
              <w:t>战略性新兴产业占地区生产总值比重</w:t>
            </w:r>
          </w:p>
        </w:tc>
        <w:tc>
          <w:tcPr>
            <w:tcW w:w="2666" w:type="dxa"/>
            <w:vAlign w:val="center"/>
          </w:tcPr>
          <w:p>
            <w:pPr>
              <w:spacing w:line="400" w:lineRule="exact"/>
              <w:jc w:val="center"/>
              <w:rPr>
                <w:rFonts w:eastAsia="仿宋_GB2312"/>
                <w:color w:val="000000"/>
                <w:sz w:val="24"/>
              </w:rPr>
            </w:pPr>
            <w:r>
              <w:rPr>
                <w:rFonts w:eastAsia="仿宋_GB2312"/>
                <w:color w:val="000000"/>
                <w:sz w:val="24"/>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第三产业增加值占地区生产总值比重</w:t>
            </w:r>
          </w:p>
        </w:tc>
        <w:tc>
          <w:tcPr>
            <w:tcW w:w="2666" w:type="dxa"/>
            <w:vAlign w:val="center"/>
          </w:tcPr>
          <w:p>
            <w:pPr>
              <w:spacing w:line="400" w:lineRule="exact"/>
              <w:jc w:val="center"/>
              <w:rPr>
                <w:rFonts w:eastAsia="仿宋_GB2312"/>
                <w:color w:val="000000"/>
                <w:sz w:val="24"/>
              </w:rPr>
            </w:pPr>
            <w:r>
              <w:rPr>
                <w:rFonts w:eastAsia="仿宋_GB2312"/>
                <w:color w:val="000000"/>
                <w:sz w:val="24"/>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9" w:hRule="atLeast"/>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规模以上六大高耗能行业单位工业增加值能耗降低率</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完成市下达任务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restart"/>
            <w:vAlign w:val="center"/>
          </w:tcPr>
          <w:p>
            <w:pPr>
              <w:spacing w:line="400" w:lineRule="exact"/>
              <w:jc w:val="center"/>
              <w:rPr>
                <w:rFonts w:eastAsia="仿宋_GB2312"/>
                <w:color w:val="000000"/>
                <w:sz w:val="24"/>
              </w:rPr>
            </w:pPr>
            <w:r>
              <w:rPr>
                <w:rFonts w:hint="eastAsia" w:eastAsia="仿宋_GB2312"/>
                <w:color w:val="000000"/>
                <w:sz w:val="24"/>
              </w:rPr>
              <w:t>能源</w:t>
            </w:r>
          </w:p>
          <w:p>
            <w:pPr>
              <w:spacing w:line="400" w:lineRule="exact"/>
              <w:jc w:val="center"/>
              <w:rPr>
                <w:rFonts w:eastAsia="仿宋_GB2312"/>
                <w:color w:val="000000"/>
                <w:sz w:val="24"/>
              </w:rPr>
            </w:pPr>
            <w:r>
              <w:rPr>
                <w:rFonts w:hint="eastAsia" w:eastAsia="仿宋_GB2312"/>
                <w:color w:val="000000"/>
                <w:sz w:val="24"/>
              </w:rPr>
              <w:t>结构</w:t>
            </w:r>
          </w:p>
        </w:tc>
        <w:tc>
          <w:tcPr>
            <w:tcW w:w="4693" w:type="dxa"/>
            <w:vAlign w:val="center"/>
          </w:tcPr>
          <w:p>
            <w:pPr>
              <w:spacing w:line="400" w:lineRule="exact"/>
              <w:rPr>
                <w:rFonts w:eastAsia="仿宋_GB2312"/>
                <w:color w:val="000000"/>
                <w:sz w:val="24"/>
              </w:rPr>
            </w:pPr>
            <w:r>
              <w:rPr>
                <w:rFonts w:hint="eastAsia" w:eastAsia="仿宋_GB2312"/>
                <w:color w:val="000000"/>
                <w:sz w:val="24"/>
              </w:rPr>
              <w:t>单位地区生产总值能耗降低率</w:t>
            </w:r>
          </w:p>
        </w:tc>
        <w:tc>
          <w:tcPr>
            <w:tcW w:w="2666" w:type="dxa"/>
            <w:vAlign w:val="center"/>
          </w:tcPr>
          <w:p>
            <w:pPr>
              <w:spacing w:line="400" w:lineRule="exact"/>
              <w:jc w:val="center"/>
              <w:rPr>
                <w:rFonts w:eastAsia="仿宋_GB2312"/>
                <w:color w:val="000000"/>
                <w:sz w:val="24"/>
              </w:rPr>
            </w:pPr>
            <w:r>
              <w:rPr>
                <w:rFonts w:eastAsia="仿宋_GB2312"/>
                <w:color w:val="000000"/>
                <w:sz w:val="24"/>
              </w:rPr>
              <w:t>18.0%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8" w:hRule="atLeast"/>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能源消费总量（万吨标准煤）</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增量较</w:t>
            </w:r>
            <w:r>
              <w:rPr>
                <w:rFonts w:eastAsia="仿宋_GB2312"/>
                <w:color w:val="000000"/>
                <w:sz w:val="24"/>
              </w:rPr>
              <w:t>“</w:t>
            </w:r>
            <w:r>
              <w:rPr>
                <w:rFonts w:hint="eastAsia" w:eastAsia="仿宋_GB2312"/>
                <w:color w:val="000000"/>
                <w:sz w:val="24"/>
              </w:rPr>
              <w:t>十二五</w:t>
            </w:r>
            <w:r>
              <w:rPr>
                <w:rFonts w:eastAsia="仿宋_GB2312"/>
                <w:color w:val="000000"/>
                <w:sz w:val="24"/>
              </w:rPr>
              <w:t>”</w:t>
            </w:r>
            <w:r>
              <w:rPr>
                <w:rFonts w:hint="eastAsia" w:eastAsia="仿宋_GB2312"/>
                <w:color w:val="000000"/>
                <w:sz w:val="24"/>
              </w:rPr>
              <w:t>末不</w:t>
            </w:r>
          </w:p>
          <w:p>
            <w:pPr>
              <w:spacing w:line="400" w:lineRule="exact"/>
              <w:jc w:val="center"/>
              <w:rPr>
                <w:rFonts w:eastAsia="仿宋_GB2312"/>
                <w:color w:val="000000"/>
                <w:sz w:val="24"/>
              </w:rPr>
            </w:pPr>
            <w:r>
              <w:rPr>
                <w:rFonts w:hint="eastAsia" w:eastAsia="仿宋_GB2312"/>
                <w:color w:val="000000"/>
                <w:sz w:val="24"/>
              </w:rPr>
              <w:t>超过</w:t>
            </w:r>
            <w:r>
              <w:rPr>
                <w:rFonts w:eastAsia="仿宋_GB2312"/>
                <w:color w:val="000000"/>
                <w:sz w:val="24"/>
              </w:rPr>
              <w:t>9.7</w:t>
            </w:r>
            <w:r>
              <w:rPr>
                <w:rFonts w:hint="eastAsia" w:eastAsia="仿宋_GB2312"/>
                <w:color w:val="000000"/>
                <w:sz w:val="24"/>
              </w:rPr>
              <w:t>万吨标准煤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煤炭消费总量（万吨）</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年度消费量＜</w:t>
            </w:r>
            <w:r>
              <w:rPr>
                <w:rFonts w:eastAsia="仿宋_GB2312"/>
                <w:color w:val="000000"/>
                <w:sz w:val="24"/>
              </w:rPr>
              <w:t>270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单位地区生产总值二氧化碳排放降低率</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完成市下达任务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清洁能源在能源消费结构中的比重</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完成市下达任务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2" w:hRule="atLeast"/>
          <w:jc w:val="center"/>
        </w:trPr>
        <w:tc>
          <w:tcPr>
            <w:tcW w:w="1163" w:type="dxa"/>
            <w:vMerge w:val="restart"/>
            <w:vAlign w:val="center"/>
          </w:tcPr>
          <w:p>
            <w:pPr>
              <w:spacing w:line="400" w:lineRule="exact"/>
              <w:jc w:val="center"/>
              <w:rPr>
                <w:rFonts w:eastAsia="仿宋_GB2312"/>
                <w:color w:val="000000"/>
                <w:sz w:val="24"/>
              </w:rPr>
            </w:pPr>
            <w:r>
              <w:rPr>
                <w:rFonts w:hint="eastAsia" w:eastAsia="仿宋_GB2312"/>
                <w:color w:val="000000"/>
                <w:sz w:val="24"/>
              </w:rPr>
              <w:t>运输</w:t>
            </w:r>
          </w:p>
          <w:p>
            <w:pPr>
              <w:spacing w:line="400" w:lineRule="exact"/>
              <w:jc w:val="center"/>
              <w:rPr>
                <w:rFonts w:eastAsia="仿宋_GB2312"/>
                <w:color w:val="000000"/>
                <w:sz w:val="24"/>
              </w:rPr>
            </w:pPr>
            <w:r>
              <w:rPr>
                <w:rFonts w:hint="eastAsia" w:eastAsia="仿宋_GB2312"/>
                <w:color w:val="000000"/>
                <w:sz w:val="24"/>
              </w:rPr>
              <w:t>结构</w:t>
            </w:r>
          </w:p>
        </w:tc>
        <w:tc>
          <w:tcPr>
            <w:tcW w:w="4693" w:type="dxa"/>
            <w:vAlign w:val="center"/>
          </w:tcPr>
          <w:p>
            <w:pPr>
              <w:spacing w:line="400" w:lineRule="exact"/>
              <w:rPr>
                <w:rFonts w:eastAsia="仿宋_GB2312"/>
                <w:color w:val="000000"/>
                <w:sz w:val="24"/>
              </w:rPr>
            </w:pPr>
            <w:r>
              <w:rPr>
                <w:rFonts w:hint="eastAsia" w:eastAsia="仿宋_GB2312"/>
                <w:color w:val="000000"/>
                <w:sz w:val="24"/>
              </w:rPr>
              <w:t>铁路货运周转量占全社会货运周转量比例</w:t>
            </w:r>
            <w:r>
              <w:rPr>
                <w:rFonts w:eastAsia="仿宋_GB2312"/>
                <w:color w:val="000000"/>
                <w:sz w:val="24"/>
              </w:rPr>
              <w:t>*</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提升</w:t>
            </w:r>
            <w:r>
              <w:rPr>
                <w:rFonts w:eastAsia="仿宋_GB2312"/>
                <w:color w:val="000000"/>
                <w:sz w:val="24"/>
              </w:rPr>
              <w:t>7</w:t>
            </w:r>
            <w:r>
              <w:rPr>
                <w:rFonts w:hint="eastAsia" w:eastAsia="仿宋_GB2312"/>
                <w:color w:val="000000"/>
                <w:sz w:val="24"/>
              </w:rPr>
              <w:t>个百分点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 w:hRule="atLeast"/>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国三营运柴油货车淘汰量（万辆）</w:t>
            </w:r>
          </w:p>
        </w:tc>
        <w:tc>
          <w:tcPr>
            <w:tcW w:w="2666" w:type="dxa"/>
            <w:vAlign w:val="center"/>
          </w:tcPr>
          <w:p>
            <w:pPr>
              <w:spacing w:line="400" w:lineRule="exact"/>
              <w:jc w:val="center"/>
              <w:rPr>
                <w:rFonts w:eastAsia="仿宋_GB2312"/>
                <w:color w:val="000000"/>
                <w:sz w:val="24"/>
              </w:rPr>
            </w:pPr>
            <w:r>
              <w:rPr>
                <w:rFonts w:hint="eastAsia" w:eastAsia="仿宋_GB2312"/>
                <w:color w:val="000000"/>
                <w:sz w:val="24"/>
              </w:rPr>
              <w:t>完成省下达目标要求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restart"/>
            <w:vAlign w:val="center"/>
          </w:tcPr>
          <w:p>
            <w:pPr>
              <w:spacing w:line="400" w:lineRule="exact"/>
              <w:jc w:val="center"/>
              <w:rPr>
                <w:rFonts w:eastAsia="仿宋_GB2312"/>
                <w:color w:val="000000"/>
                <w:sz w:val="24"/>
              </w:rPr>
            </w:pPr>
            <w:r>
              <w:rPr>
                <w:rFonts w:hint="eastAsia" w:eastAsia="仿宋_GB2312"/>
                <w:color w:val="000000"/>
                <w:sz w:val="24"/>
              </w:rPr>
              <w:t>农业投入结构</w:t>
            </w:r>
          </w:p>
        </w:tc>
        <w:tc>
          <w:tcPr>
            <w:tcW w:w="4693" w:type="dxa"/>
            <w:vAlign w:val="center"/>
          </w:tcPr>
          <w:p>
            <w:pPr>
              <w:spacing w:line="400" w:lineRule="exact"/>
              <w:rPr>
                <w:rFonts w:eastAsia="仿宋_GB2312"/>
                <w:color w:val="000000"/>
                <w:sz w:val="24"/>
              </w:rPr>
            </w:pPr>
            <w:r>
              <w:rPr>
                <w:rFonts w:hint="eastAsia" w:eastAsia="仿宋_GB2312"/>
                <w:color w:val="000000"/>
                <w:sz w:val="24"/>
              </w:rPr>
              <w:t>单位耕地面积化肥使用量下降率</w:t>
            </w:r>
          </w:p>
        </w:tc>
        <w:tc>
          <w:tcPr>
            <w:tcW w:w="2666" w:type="dxa"/>
            <w:vAlign w:val="center"/>
          </w:tcPr>
          <w:p>
            <w:pPr>
              <w:spacing w:line="400" w:lineRule="exact"/>
              <w:jc w:val="center"/>
              <w:rPr>
                <w:rFonts w:eastAsia="仿宋_GB2312"/>
                <w:color w:val="000000"/>
                <w:sz w:val="24"/>
              </w:rPr>
            </w:pPr>
            <w:r>
              <w:rPr>
                <w:rFonts w:eastAsia="仿宋_GB2312"/>
                <w:color w:val="000000"/>
                <w:sz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jc w:val="center"/>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单位耕地面积农药使用量下降率</w:t>
            </w:r>
          </w:p>
        </w:tc>
        <w:tc>
          <w:tcPr>
            <w:tcW w:w="2666" w:type="dxa"/>
            <w:vAlign w:val="center"/>
          </w:tcPr>
          <w:p>
            <w:pPr>
              <w:spacing w:line="400" w:lineRule="exact"/>
              <w:jc w:val="center"/>
              <w:rPr>
                <w:rFonts w:eastAsia="仿宋_GB2312"/>
                <w:color w:val="000000"/>
                <w:sz w:val="24"/>
              </w:rPr>
            </w:pPr>
            <w:r>
              <w:rPr>
                <w:rFonts w:eastAsia="仿宋_GB2312"/>
                <w:color w:val="000000"/>
                <w:sz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restart"/>
            <w:vAlign w:val="center"/>
          </w:tcPr>
          <w:p>
            <w:pPr>
              <w:spacing w:line="400" w:lineRule="exact"/>
              <w:jc w:val="center"/>
              <w:rPr>
                <w:rFonts w:eastAsia="仿宋_GB2312"/>
                <w:color w:val="000000"/>
                <w:sz w:val="24"/>
              </w:rPr>
            </w:pPr>
            <w:r>
              <w:rPr>
                <w:rFonts w:hint="eastAsia" w:eastAsia="仿宋_GB2312"/>
                <w:color w:val="000000"/>
                <w:sz w:val="24"/>
              </w:rPr>
              <w:t>主要污染物排放总量</w:t>
            </w:r>
          </w:p>
        </w:tc>
        <w:tc>
          <w:tcPr>
            <w:tcW w:w="4693" w:type="dxa"/>
            <w:vAlign w:val="center"/>
          </w:tcPr>
          <w:p>
            <w:pPr>
              <w:spacing w:line="400" w:lineRule="exact"/>
              <w:rPr>
                <w:rFonts w:eastAsia="仿宋_GB2312"/>
                <w:color w:val="000000"/>
                <w:sz w:val="24"/>
              </w:rPr>
            </w:pPr>
            <w:r>
              <w:rPr>
                <w:rFonts w:hint="eastAsia" w:eastAsia="仿宋_GB2312"/>
                <w:color w:val="000000"/>
                <w:sz w:val="24"/>
              </w:rPr>
              <w:t>二氧化硫削减比例</w:t>
            </w:r>
          </w:p>
        </w:tc>
        <w:tc>
          <w:tcPr>
            <w:tcW w:w="2666" w:type="dxa"/>
            <w:vAlign w:val="center"/>
          </w:tcPr>
          <w:p>
            <w:pPr>
              <w:spacing w:line="400" w:lineRule="exact"/>
              <w:jc w:val="center"/>
              <w:rPr>
                <w:rFonts w:eastAsia="仿宋_GB2312"/>
                <w:color w:val="000000"/>
                <w:sz w:val="24"/>
              </w:rPr>
            </w:pPr>
            <w:r>
              <w:rPr>
                <w:rFonts w:eastAsia="仿宋_GB2312"/>
                <w:color w:val="000000"/>
                <w:sz w:val="24"/>
              </w:rPr>
              <w:t>30.3%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氮氧化物削减比例</w:t>
            </w:r>
          </w:p>
        </w:tc>
        <w:tc>
          <w:tcPr>
            <w:tcW w:w="2666" w:type="dxa"/>
            <w:vAlign w:val="center"/>
          </w:tcPr>
          <w:p>
            <w:pPr>
              <w:spacing w:line="400" w:lineRule="exact"/>
              <w:jc w:val="center"/>
              <w:rPr>
                <w:rFonts w:eastAsia="仿宋_GB2312"/>
                <w:color w:val="000000"/>
                <w:sz w:val="24"/>
              </w:rPr>
            </w:pPr>
            <w:r>
              <w:rPr>
                <w:rFonts w:eastAsia="仿宋_GB2312"/>
                <w:color w:val="000000"/>
                <w:sz w:val="24"/>
              </w:rPr>
              <w:t>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化学需氧量削减比例</w:t>
            </w:r>
          </w:p>
        </w:tc>
        <w:tc>
          <w:tcPr>
            <w:tcW w:w="2666" w:type="dxa"/>
            <w:vAlign w:val="center"/>
          </w:tcPr>
          <w:p>
            <w:pPr>
              <w:spacing w:line="400" w:lineRule="exact"/>
              <w:jc w:val="center"/>
              <w:rPr>
                <w:rFonts w:eastAsia="仿宋_GB2312"/>
                <w:color w:val="000000"/>
                <w:sz w:val="24"/>
              </w:rPr>
            </w:pPr>
            <w:r>
              <w:rPr>
                <w:rFonts w:eastAsia="仿宋_GB2312"/>
                <w:color w:val="000000"/>
                <w:sz w:val="24"/>
              </w:rPr>
              <w:t>15.2%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氨氮削减比例</w:t>
            </w:r>
          </w:p>
        </w:tc>
        <w:tc>
          <w:tcPr>
            <w:tcW w:w="2666" w:type="dxa"/>
            <w:vAlign w:val="center"/>
          </w:tcPr>
          <w:p>
            <w:pPr>
              <w:spacing w:line="400" w:lineRule="exact"/>
              <w:jc w:val="center"/>
              <w:rPr>
                <w:rFonts w:eastAsia="仿宋_GB2312"/>
                <w:color w:val="000000"/>
                <w:sz w:val="24"/>
              </w:rPr>
            </w:pPr>
            <w:r>
              <w:rPr>
                <w:rFonts w:eastAsia="仿宋_GB2312"/>
                <w:color w:val="000000"/>
                <w:sz w:val="24"/>
              </w:rPr>
              <w:t>15.1%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3" w:type="dxa"/>
            <w:vMerge w:val="continue"/>
            <w:vAlign w:val="center"/>
          </w:tcPr>
          <w:p>
            <w:pPr>
              <w:spacing w:line="400" w:lineRule="exact"/>
              <w:rPr>
                <w:rFonts w:eastAsia="仿宋_GB2312"/>
                <w:color w:val="000000"/>
                <w:sz w:val="24"/>
              </w:rPr>
            </w:pPr>
          </w:p>
        </w:tc>
        <w:tc>
          <w:tcPr>
            <w:tcW w:w="4693" w:type="dxa"/>
            <w:vAlign w:val="center"/>
          </w:tcPr>
          <w:p>
            <w:pPr>
              <w:spacing w:line="400" w:lineRule="exact"/>
              <w:rPr>
                <w:rFonts w:eastAsia="仿宋_GB2312"/>
                <w:color w:val="000000"/>
                <w:sz w:val="24"/>
              </w:rPr>
            </w:pPr>
            <w:r>
              <w:rPr>
                <w:rFonts w:hint="eastAsia" w:eastAsia="仿宋_GB2312"/>
                <w:color w:val="000000"/>
                <w:sz w:val="24"/>
              </w:rPr>
              <w:t>挥发性有机物（</w:t>
            </w:r>
            <w:r>
              <w:rPr>
                <w:rFonts w:eastAsia="仿宋_GB2312"/>
                <w:color w:val="000000"/>
                <w:sz w:val="24"/>
              </w:rPr>
              <w:t>VOCs</w:t>
            </w:r>
            <w:r>
              <w:rPr>
                <w:rFonts w:hint="eastAsia" w:eastAsia="仿宋_GB2312"/>
                <w:color w:val="000000"/>
                <w:sz w:val="24"/>
              </w:rPr>
              <w:t>）削减比例</w:t>
            </w:r>
            <w:r>
              <w:rPr>
                <w:rFonts w:eastAsia="仿宋_GB2312"/>
                <w:color w:val="000000"/>
                <w:sz w:val="24"/>
              </w:rPr>
              <w:t>**</w:t>
            </w:r>
          </w:p>
        </w:tc>
        <w:tc>
          <w:tcPr>
            <w:tcW w:w="2666" w:type="dxa"/>
            <w:vAlign w:val="center"/>
          </w:tcPr>
          <w:p>
            <w:pPr>
              <w:spacing w:line="400" w:lineRule="exact"/>
              <w:jc w:val="center"/>
              <w:rPr>
                <w:rFonts w:eastAsia="仿宋_GB2312"/>
                <w:color w:val="000000"/>
                <w:sz w:val="24"/>
              </w:rPr>
            </w:pPr>
            <w:r>
              <w:rPr>
                <w:rFonts w:eastAsia="仿宋_GB2312"/>
                <w:color w:val="000000"/>
                <w:sz w:val="24"/>
              </w:rPr>
              <w:t>19%</w:t>
            </w:r>
          </w:p>
        </w:tc>
      </w:tr>
    </w:tbl>
    <w:p>
      <w:pPr>
        <w:spacing w:line="560" w:lineRule="exact"/>
        <w:rPr>
          <w:color w:val="000000"/>
          <w:sz w:val="18"/>
          <w:szCs w:val="18"/>
        </w:rPr>
      </w:pPr>
      <w:r>
        <w:rPr>
          <w:rFonts w:hint="eastAsia" w:eastAsia="楷体_GB2312"/>
          <w:color w:val="000000"/>
          <w:sz w:val="32"/>
          <w:szCs w:val="32"/>
        </w:rPr>
        <w:t>注：基准年为</w:t>
      </w:r>
      <w:r>
        <w:rPr>
          <w:rFonts w:eastAsia="楷体_GB2312"/>
          <w:color w:val="000000"/>
          <w:sz w:val="32"/>
          <w:szCs w:val="32"/>
        </w:rPr>
        <w:t>2015</w:t>
      </w:r>
      <w:r>
        <w:rPr>
          <w:rFonts w:hint="eastAsia" w:eastAsia="楷体_GB2312"/>
          <w:color w:val="000000"/>
          <w:sz w:val="32"/>
          <w:szCs w:val="32"/>
        </w:rPr>
        <w:t>年；</w:t>
      </w:r>
      <w:r>
        <w:rPr>
          <w:rFonts w:eastAsia="楷体_GB2312"/>
          <w:color w:val="000000"/>
          <w:sz w:val="32"/>
          <w:szCs w:val="32"/>
        </w:rPr>
        <w:t>*</w:t>
      </w:r>
      <w:r>
        <w:rPr>
          <w:rFonts w:hint="eastAsia" w:eastAsia="楷体_GB2312"/>
          <w:color w:val="000000"/>
          <w:sz w:val="32"/>
          <w:szCs w:val="32"/>
        </w:rPr>
        <w:t>基准年为</w:t>
      </w:r>
      <w:r>
        <w:rPr>
          <w:rFonts w:eastAsia="楷体_GB2312"/>
          <w:color w:val="000000"/>
          <w:sz w:val="32"/>
          <w:szCs w:val="32"/>
        </w:rPr>
        <w:t>2017</w:t>
      </w:r>
      <w:r>
        <w:rPr>
          <w:rFonts w:hint="eastAsia" w:eastAsia="楷体_GB2312"/>
          <w:color w:val="000000"/>
          <w:sz w:val="32"/>
          <w:szCs w:val="32"/>
        </w:rPr>
        <w:t>年；</w:t>
      </w:r>
      <w:r>
        <w:rPr>
          <w:rFonts w:eastAsia="楷体_GB2312"/>
          <w:color w:val="000000"/>
          <w:sz w:val="32"/>
          <w:szCs w:val="32"/>
        </w:rPr>
        <w:t>**</w:t>
      </w:r>
      <w:r>
        <w:rPr>
          <w:rFonts w:hint="eastAsia" w:eastAsia="楷体_GB2312"/>
          <w:color w:val="000000"/>
          <w:sz w:val="32"/>
          <w:szCs w:val="32"/>
        </w:rPr>
        <w:t>基准年为</w:t>
      </w:r>
      <w:r>
        <w:rPr>
          <w:rFonts w:eastAsia="楷体_GB2312"/>
          <w:color w:val="000000"/>
          <w:sz w:val="32"/>
          <w:szCs w:val="32"/>
        </w:rPr>
        <w:t>2016</w:t>
      </w:r>
      <w:r>
        <w:rPr>
          <w:rFonts w:hint="eastAsia" w:eastAsia="楷体_GB2312"/>
          <w:color w:val="000000"/>
          <w:sz w:val="32"/>
          <w:szCs w:val="32"/>
        </w:rPr>
        <w:t>年</w:t>
      </w:r>
      <w:r>
        <w:rPr>
          <w:rFonts w:hint="eastAsia"/>
          <w:color w:val="000000"/>
          <w:sz w:val="18"/>
          <w:szCs w:val="18"/>
        </w:rPr>
        <w:t>。</w:t>
      </w:r>
    </w:p>
    <w:p>
      <w:pPr>
        <w:spacing w:line="560" w:lineRule="exact"/>
        <w:ind w:firstLine="640" w:firstLineChars="200"/>
        <w:rPr>
          <w:rFonts w:eastAsia="黑体"/>
          <w:color w:val="000000"/>
          <w:sz w:val="32"/>
          <w:szCs w:val="32"/>
        </w:rPr>
      </w:pPr>
      <w:r>
        <w:rPr>
          <w:rFonts w:hint="eastAsia" w:eastAsia="黑体"/>
          <w:color w:val="000000"/>
          <w:sz w:val="32"/>
          <w:szCs w:val="32"/>
        </w:rPr>
        <w:t>二、调整产业结构</w:t>
      </w:r>
    </w:p>
    <w:p>
      <w:pPr>
        <w:spacing w:line="560" w:lineRule="exact"/>
        <w:ind w:firstLine="640" w:firstLineChars="200"/>
        <w:rPr>
          <w:rFonts w:eastAsia="仿宋_GB2312"/>
          <w:color w:val="000000"/>
          <w:sz w:val="32"/>
          <w:szCs w:val="32"/>
        </w:rPr>
      </w:pPr>
      <w:r>
        <w:rPr>
          <w:rFonts w:hint="eastAsia" w:eastAsia="仿宋_GB2312"/>
          <w:color w:val="000000"/>
          <w:sz w:val="32"/>
          <w:szCs w:val="32"/>
        </w:rPr>
        <w:t>牢牢把握列入首批全国老工业城市和资源型城市产业转型升级示范区的机遇，以实施新旧动能转换重大工程为统领，综合运用法律、行政、经济、技术等手段，坚持</w:t>
      </w:r>
      <w:r>
        <w:rPr>
          <w:rFonts w:eastAsia="仿宋_GB2312"/>
          <w:color w:val="000000"/>
          <w:sz w:val="32"/>
          <w:szCs w:val="32"/>
        </w:rPr>
        <w:t>“</w:t>
      </w:r>
      <w:r>
        <w:rPr>
          <w:rFonts w:hint="eastAsia" w:eastAsia="仿宋_GB2312"/>
          <w:color w:val="000000"/>
          <w:sz w:val="32"/>
          <w:szCs w:val="32"/>
        </w:rPr>
        <w:t>堵疏结合，以疏为主</w:t>
      </w:r>
      <w:r>
        <w:rPr>
          <w:rFonts w:eastAsia="仿宋_GB2312"/>
          <w:color w:val="000000"/>
          <w:sz w:val="32"/>
          <w:szCs w:val="32"/>
        </w:rPr>
        <w:t>”</w:t>
      </w:r>
      <w:r>
        <w:rPr>
          <w:rFonts w:hint="eastAsia" w:eastAsia="仿宋_GB2312"/>
          <w:color w:val="000000"/>
          <w:sz w:val="32"/>
          <w:szCs w:val="32"/>
        </w:rPr>
        <w:t>的原则，强力推进落后产能淘汰、过剩产能化解和违法违规产能清理，全力实施</w:t>
      </w:r>
      <w:r>
        <w:rPr>
          <w:rFonts w:eastAsia="仿宋_GB2312"/>
          <w:color w:val="000000"/>
          <w:sz w:val="32"/>
          <w:szCs w:val="32"/>
        </w:rPr>
        <w:t>“</w:t>
      </w:r>
      <w:r>
        <w:rPr>
          <w:rFonts w:hint="eastAsia" w:eastAsia="仿宋_GB2312"/>
          <w:color w:val="000000"/>
          <w:sz w:val="32"/>
          <w:szCs w:val="32"/>
        </w:rPr>
        <w:t>三上三压</w:t>
      </w:r>
      <w:r>
        <w:rPr>
          <w:rFonts w:eastAsia="仿宋_GB2312"/>
          <w:color w:val="000000"/>
          <w:sz w:val="32"/>
          <w:szCs w:val="32"/>
        </w:rPr>
        <w:t>”</w:t>
      </w:r>
      <w:r>
        <w:rPr>
          <w:rFonts w:hint="eastAsia" w:eastAsia="仿宋_GB2312"/>
          <w:color w:val="000000"/>
          <w:sz w:val="32"/>
          <w:szCs w:val="32"/>
        </w:rPr>
        <w:t>，严格实施采暖季工业企业错峰生产，加大规划引导与政策支持力度，集中做好</w:t>
      </w:r>
      <w:r>
        <w:rPr>
          <w:rFonts w:eastAsia="仿宋_GB2312"/>
          <w:color w:val="000000"/>
          <w:sz w:val="32"/>
          <w:szCs w:val="32"/>
        </w:rPr>
        <w:t>“</w:t>
      </w:r>
      <w:r>
        <w:rPr>
          <w:rFonts w:hint="eastAsia" w:eastAsia="仿宋_GB2312"/>
          <w:color w:val="000000"/>
          <w:sz w:val="32"/>
          <w:szCs w:val="32"/>
        </w:rPr>
        <w:t>高、新、轻、绿</w:t>
      </w:r>
      <w:r>
        <w:rPr>
          <w:rFonts w:eastAsia="仿宋_GB2312"/>
          <w:color w:val="000000"/>
          <w:sz w:val="32"/>
          <w:szCs w:val="32"/>
        </w:rPr>
        <w:t>”</w:t>
      </w:r>
      <w:r>
        <w:rPr>
          <w:rFonts w:hint="eastAsia" w:eastAsia="仿宋_GB2312"/>
          <w:color w:val="000000"/>
          <w:sz w:val="32"/>
          <w:szCs w:val="32"/>
        </w:rPr>
        <w:t>四篇文章，着力发展战略性新兴产业，加快传统行业动能绿色改造，大力发展节能环保产业，优化空间布局，努力增加绿色新动能。到</w:t>
      </w:r>
      <w:r>
        <w:rPr>
          <w:rFonts w:eastAsia="仿宋_GB2312"/>
          <w:color w:val="000000"/>
          <w:sz w:val="32"/>
          <w:szCs w:val="32"/>
        </w:rPr>
        <w:t>2018</w:t>
      </w:r>
      <w:r>
        <w:rPr>
          <w:rFonts w:hint="eastAsia" w:eastAsia="仿宋_GB2312"/>
          <w:color w:val="000000"/>
          <w:sz w:val="32"/>
          <w:szCs w:val="32"/>
        </w:rPr>
        <w:t>年年底，生铁产能压减</w:t>
      </w:r>
      <w:r>
        <w:rPr>
          <w:rFonts w:eastAsia="仿宋_GB2312"/>
          <w:color w:val="000000"/>
          <w:sz w:val="32"/>
          <w:szCs w:val="32"/>
        </w:rPr>
        <w:t>60</w:t>
      </w:r>
      <w:r>
        <w:rPr>
          <w:rFonts w:hint="eastAsia" w:eastAsia="仿宋_GB2312"/>
          <w:color w:val="000000"/>
          <w:sz w:val="32"/>
          <w:szCs w:val="32"/>
        </w:rPr>
        <w:t>万吨，粗钢产能压减</w:t>
      </w:r>
      <w:r>
        <w:rPr>
          <w:rFonts w:eastAsia="仿宋_GB2312"/>
          <w:color w:val="000000"/>
          <w:sz w:val="32"/>
          <w:szCs w:val="32"/>
        </w:rPr>
        <w:t>70</w:t>
      </w:r>
      <w:r>
        <w:rPr>
          <w:rFonts w:hint="eastAsia" w:eastAsia="仿宋_GB2312"/>
          <w:color w:val="000000"/>
          <w:sz w:val="32"/>
          <w:szCs w:val="32"/>
        </w:rPr>
        <w:t>万吨。到</w:t>
      </w:r>
      <w:r>
        <w:rPr>
          <w:rFonts w:eastAsia="仿宋_GB2312"/>
          <w:color w:val="000000"/>
          <w:sz w:val="32"/>
          <w:szCs w:val="32"/>
        </w:rPr>
        <w:t>2020</w:t>
      </w:r>
      <w:r>
        <w:rPr>
          <w:rFonts w:hint="eastAsia" w:eastAsia="仿宋_GB2312"/>
          <w:color w:val="000000"/>
          <w:sz w:val="32"/>
          <w:szCs w:val="32"/>
        </w:rPr>
        <w:t>年，战略性新兴产业占地区生产总值比重达到</w:t>
      </w:r>
      <w:r>
        <w:rPr>
          <w:rFonts w:eastAsia="仿宋_GB2312"/>
          <w:color w:val="000000"/>
          <w:sz w:val="32"/>
          <w:szCs w:val="32"/>
        </w:rPr>
        <w:t>11%</w:t>
      </w:r>
      <w:r>
        <w:rPr>
          <w:rFonts w:hint="eastAsia" w:eastAsia="仿宋_GB2312"/>
          <w:color w:val="000000"/>
          <w:sz w:val="32"/>
          <w:szCs w:val="32"/>
        </w:rPr>
        <w:t>，第三产业增加值占地区生产总值比重达到</w:t>
      </w:r>
      <w:r>
        <w:rPr>
          <w:rFonts w:eastAsia="仿宋_GB2312"/>
          <w:color w:val="000000"/>
          <w:sz w:val="32"/>
          <w:szCs w:val="32"/>
        </w:rPr>
        <w:t>35%</w:t>
      </w:r>
      <w:r>
        <w:rPr>
          <w:rFonts w:hint="eastAsia" w:eastAsia="仿宋_GB2312"/>
          <w:color w:val="000000"/>
          <w:sz w:val="32"/>
          <w:szCs w:val="32"/>
        </w:rPr>
        <w:t>。</w:t>
      </w:r>
    </w:p>
    <w:p>
      <w:pPr>
        <w:spacing w:line="560" w:lineRule="exact"/>
        <w:ind w:firstLine="640" w:firstLineChars="200"/>
        <w:rPr>
          <w:rFonts w:eastAsia="楷体_GB2312"/>
          <w:color w:val="000000"/>
          <w:sz w:val="32"/>
          <w:szCs w:val="32"/>
        </w:rPr>
      </w:pPr>
      <w:r>
        <w:rPr>
          <w:rFonts w:hint="eastAsia" w:eastAsia="楷体_GB2312"/>
          <w:color w:val="000000"/>
          <w:sz w:val="32"/>
          <w:szCs w:val="32"/>
        </w:rPr>
        <w:t>（一）减少落后和过剩产能</w:t>
      </w:r>
    </w:p>
    <w:p>
      <w:pPr>
        <w:spacing w:line="560" w:lineRule="exact"/>
        <w:ind w:firstLine="640" w:firstLineChars="200"/>
        <w:rPr>
          <w:color w:val="000000"/>
          <w:sz w:val="32"/>
          <w:szCs w:val="32"/>
        </w:rPr>
      </w:pPr>
      <w:r>
        <w:rPr>
          <w:rFonts w:eastAsia="仿宋_GB2312"/>
          <w:color w:val="000000"/>
          <w:sz w:val="32"/>
          <w:szCs w:val="32"/>
        </w:rPr>
        <w:t xml:space="preserve">1. </w:t>
      </w:r>
      <w:r>
        <w:rPr>
          <w:rFonts w:hint="eastAsia" w:eastAsia="仿宋_GB2312"/>
          <w:color w:val="000000"/>
          <w:sz w:val="32"/>
          <w:szCs w:val="32"/>
        </w:rPr>
        <w:t>着力淘汰落后产能。按照省市关于利用综合标准依法依规推动落后产能退出工作方案的有关要求，以钢铁、平板玻璃等行业为重点，通过完善综合标准体系，严格常态化执法和强制性标准实施，依法依规关停退出一批能耗、环保、安全、质量达不到标准和生产不合格产品或淘汰类产能（以上通称为落后产能）。</w:t>
      </w:r>
      <w:r>
        <w:rPr>
          <w:rFonts w:hint="eastAsia" w:eastAsia="楷体_GB2312"/>
          <w:color w:val="000000"/>
          <w:sz w:val="32"/>
          <w:szCs w:val="32"/>
        </w:rPr>
        <w:t>（经济发展局牵头）</w:t>
      </w:r>
    </w:p>
    <w:p>
      <w:pPr>
        <w:spacing w:line="560" w:lineRule="exact"/>
        <w:ind w:firstLine="640" w:firstLineChars="200"/>
        <w:rPr>
          <w:color w:val="000000"/>
          <w:sz w:val="32"/>
          <w:szCs w:val="32"/>
        </w:rPr>
      </w:pPr>
      <w:r>
        <w:rPr>
          <w:rFonts w:hint="eastAsia" w:eastAsia="仿宋_GB2312"/>
          <w:color w:val="000000"/>
          <w:sz w:val="32"/>
          <w:szCs w:val="32"/>
        </w:rPr>
        <w:t>能耗方面，严格执行节约能源法，对达不到强制性能耗限额标准要求的产能，予以限期整改；</w:t>
      </w:r>
      <w:r>
        <w:rPr>
          <w:rFonts w:hint="eastAsia" w:eastAsia="仿宋_GB2312"/>
          <w:color w:val="000000"/>
          <w:sz w:val="32"/>
          <w:szCs w:val="32"/>
          <w:lang w:eastAsia="zh-CN"/>
        </w:rPr>
        <w:t>对</w:t>
      </w:r>
      <w:r>
        <w:rPr>
          <w:rFonts w:hint="eastAsia" w:eastAsia="仿宋_GB2312"/>
          <w:color w:val="000000"/>
          <w:sz w:val="32"/>
          <w:szCs w:val="32"/>
        </w:rPr>
        <w:t>整改未达标的，依法关停退出；严格控制能源消费总量。环保方面，属于国务院经济综合宏观调控部门会同国务院有关部门发布的产业政策目录中明令淘汰或立即淘汰的落后生产工艺装备、落后产品的，不予核发排污许可证；严格执行环境保护法律法规，对超过大气和水等污染物排放标准排污、违反固体废物管理法律法规，以及超过重点污染物总量控制指标排污的企业，责令采取限制生产、停产整治等措施；情节严重的，责令停业、关闭。质量方面，严格执行产品质量法，对相关产品质量达不到强制性标准要求的产能，依法查处并责令停止生产、销售。安全方面，严格执行安全生产法，对安全生产条件达不到相关法律、行政法规和国家标准或行业标准要求的产能，立即停产停业整顿；整顿后仍不具备安全生产条件的，依法予以关闭，吊销其相关证照。技术方面，按照产业政策规定，淘汰相关工艺技术装备，拆除相应主体设备；暂不具备拆除条件的，应断水、断电，拆除动力装置，封存主体设备（生产线），承诺不再恢复生产，并限时依法拆除。严厉打击违法生产和销售</w:t>
      </w:r>
      <w:r>
        <w:rPr>
          <w:rFonts w:eastAsia="仿宋_GB2312"/>
          <w:color w:val="000000"/>
          <w:sz w:val="32"/>
          <w:szCs w:val="32"/>
        </w:rPr>
        <w:t>“</w:t>
      </w:r>
      <w:r>
        <w:rPr>
          <w:rFonts w:hint="eastAsia" w:eastAsia="仿宋_GB2312"/>
          <w:color w:val="000000"/>
          <w:sz w:val="32"/>
          <w:szCs w:val="32"/>
        </w:rPr>
        <w:t>地条钢</w:t>
      </w:r>
      <w:r>
        <w:rPr>
          <w:rFonts w:eastAsia="仿宋_GB2312"/>
          <w:color w:val="000000"/>
          <w:sz w:val="32"/>
          <w:szCs w:val="32"/>
        </w:rPr>
        <w:t>”</w:t>
      </w:r>
      <w:r>
        <w:rPr>
          <w:rFonts w:hint="eastAsia" w:eastAsia="仿宋_GB2312"/>
          <w:color w:val="000000"/>
          <w:sz w:val="32"/>
          <w:szCs w:val="32"/>
        </w:rPr>
        <w:t>行为，依法全面拆除生产建筑用钢（含钢坯、钢锭）的工频炉、中频炉等装备。</w:t>
      </w:r>
      <w:r>
        <w:rPr>
          <w:rFonts w:hint="eastAsia" w:eastAsia="楷体_GB2312"/>
          <w:color w:val="000000"/>
          <w:sz w:val="32"/>
          <w:szCs w:val="32"/>
        </w:rPr>
        <w:t>（经济发展局、环保局、安监局、</w:t>
      </w:r>
      <w:r>
        <w:rPr>
          <w:rFonts w:hint="eastAsia" w:eastAsia="楷体_GB2312"/>
          <w:color w:val="000000"/>
          <w:sz w:val="32"/>
          <w:szCs w:val="32"/>
          <w:lang w:eastAsia="zh-CN"/>
        </w:rPr>
        <w:t>市场监督管理局</w:t>
      </w:r>
      <w:r>
        <w:rPr>
          <w:rFonts w:hint="eastAsia" w:eastAsia="楷体_GB2312"/>
          <w:color w:val="000000"/>
          <w:sz w:val="32"/>
          <w:szCs w:val="32"/>
        </w:rPr>
        <w:t>分别牵头）</w:t>
      </w:r>
    </w:p>
    <w:p>
      <w:pPr>
        <w:spacing w:line="560" w:lineRule="exact"/>
        <w:ind w:firstLine="640" w:firstLineChars="200"/>
        <w:rPr>
          <w:color w:val="000000"/>
          <w:sz w:val="32"/>
          <w:szCs w:val="32"/>
        </w:rPr>
      </w:pPr>
      <w:r>
        <w:rPr>
          <w:rFonts w:eastAsia="仿宋_GB2312"/>
          <w:color w:val="000000"/>
          <w:sz w:val="32"/>
          <w:szCs w:val="32"/>
        </w:rPr>
        <w:t xml:space="preserve">2. </w:t>
      </w:r>
      <w:r>
        <w:rPr>
          <w:rFonts w:hint="eastAsia" w:eastAsia="仿宋_GB2312"/>
          <w:color w:val="000000"/>
          <w:sz w:val="32"/>
          <w:szCs w:val="32"/>
        </w:rPr>
        <w:t>着力依法清理违法违规产能。加大已淘汰落后产能和化解过剩产能监管力度，采取</w:t>
      </w:r>
      <w:r>
        <w:rPr>
          <w:rFonts w:eastAsia="仿宋_GB2312"/>
          <w:color w:val="000000"/>
          <w:sz w:val="32"/>
          <w:szCs w:val="32"/>
        </w:rPr>
        <w:t>“</w:t>
      </w:r>
      <w:r>
        <w:rPr>
          <w:rFonts w:hint="eastAsia" w:eastAsia="仿宋_GB2312"/>
          <w:color w:val="000000"/>
          <w:sz w:val="32"/>
          <w:szCs w:val="32"/>
        </w:rPr>
        <w:t>两断三清</w:t>
      </w:r>
      <w:r>
        <w:rPr>
          <w:rFonts w:eastAsia="仿宋_GB2312"/>
          <w:color w:val="000000"/>
          <w:sz w:val="32"/>
          <w:szCs w:val="32"/>
        </w:rPr>
        <w:t>”</w:t>
      </w:r>
      <w:r>
        <w:rPr>
          <w:rFonts w:hint="eastAsia" w:eastAsia="仿宋_GB2312"/>
          <w:color w:val="000000"/>
          <w:sz w:val="32"/>
          <w:szCs w:val="32"/>
        </w:rPr>
        <w:t>等措施，严防已淘汰和化解的落后和过剩产能异地复产。清理整顿中央和省环保督察发现的各类违规产能和替代产能。</w:t>
      </w:r>
      <w:r>
        <w:rPr>
          <w:rFonts w:hint="eastAsia" w:eastAsia="楷体_GB2312"/>
          <w:color w:val="000000"/>
          <w:sz w:val="32"/>
          <w:szCs w:val="32"/>
        </w:rPr>
        <w:t>（经济发展局牵头）</w:t>
      </w:r>
      <w:r>
        <w:rPr>
          <w:rFonts w:hint="eastAsia" w:eastAsia="仿宋_GB2312"/>
          <w:color w:val="000000"/>
          <w:sz w:val="32"/>
          <w:szCs w:val="32"/>
        </w:rPr>
        <w:t>坚决依法依规关停用地、工商登记条件和行政许可手续不全并难以通过改造达标的企业，限期治理可以达标改造的企业，逾期改造未达标的一律依法关停。</w:t>
      </w:r>
      <w:r>
        <w:rPr>
          <w:rFonts w:hint="eastAsia" w:eastAsia="楷体_GB2312"/>
          <w:color w:val="000000"/>
          <w:sz w:val="32"/>
          <w:szCs w:val="32"/>
        </w:rPr>
        <w:t>（环保局、高新区国土分局、</w:t>
      </w:r>
      <w:r>
        <w:rPr>
          <w:rFonts w:hint="eastAsia" w:eastAsia="楷体_GB2312"/>
          <w:color w:val="000000"/>
          <w:sz w:val="32"/>
          <w:szCs w:val="32"/>
          <w:lang w:eastAsia="zh-CN"/>
        </w:rPr>
        <w:t>市场监督管理局</w:t>
      </w:r>
      <w:r>
        <w:rPr>
          <w:rFonts w:hint="eastAsia" w:eastAsia="楷体_GB2312"/>
          <w:color w:val="000000"/>
          <w:sz w:val="32"/>
          <w:szCs w:val="32"/>
        </w:rPr>
        <w:t>牵头）</w:t>
      </w:r>
    </w:p>
    <w:p>
      <w:pPr>
        <w:spacing w:line="560" w:lineRule="exact"/>
        <w:ind w:firstLine="640" w:firstLineChars="200"/>
        <w:rPr>
          <w:color w:val="000000"/>
          <w:sz w:val="32"/>
          <w:szCs w:val="32"/>
        </w:rPr>
      </w:pPr>
      <w:r>
        <w:rPr>
          <w:rFonts w:eastAsia="仿宋_GB2312"/>
          <w:color w:val="000000"/>
          <w:sz w:val="32"/>
          <w:szCs w:val="32"/>
        </w:rPr>
        <w:t xml:space="preserve">3. </w:t>
      </w:r>
      <w:r>
        <w:rPr>
          <w:rFonts w:hint="eastAsia" w:eastAsia="仿宋_GB2312"/>
          <w:color w:val="000000"/>
          <w:sz w:val="32"/>
          <w:szCs w:val="32"/>
        </w:rPr>
        <w:t>着力调整高耗能高排放产业结构布局。遵循产业发展和市场经济运行规律，把钢铁、焦化、轮胎、氯碱等高耗能行业转型升级作为加快新旧动能转换的重要举措和突破口，着力破除瓶颈制约，拉伸产业链、提升价值链，努力实现高耗能行业布局优化、质量提升，推动绿色发展、高质量发展。严格落实省市制定的严于国家要求的地方标准和产业政策，建立完善精准的企业分类综合评价体系，倒逼落后产能市场出清，加快企业转型升级步伐；发挥市场在资源配置中的决定性作用，鼓励企业通过产能置换、指标交易、股权合作等方式开展兼并重组，提高产业集中度，优化产业布局。</w:t>
      </w:r>
      <w:r>
        <w:rPr>
          <w:rFonts w:hint="eastAsia" w:eastAsia="楷体_GB2312"/>
          <w:color w:val="000000"/>
          <w:sz w:val="32"/>
          <w:szCs w:val="32"/>
        </w:rPr>
        <w:t>（经济发展局牵头）</w:t>
      </w:r>
    </w:p>
    <w:p>
      <w:pPr>
        <w:spacing w:line="560" w:lineRule="exact"/>
        <w:ind w:firstLine="640" w:firstLineChars="200"/>
        <w:rPr>
          <w:color w:val="000000"/>
          <w:sz w:val="32"/>
          <w:szCs w:val="32"/>
        </w:rPr>
      </w:pPr>
      <w:r>
        <w:rPr>
          <w:rFonts w:eastAsia="仿宋_GB2312"/>
          <w:color w:val="000000"/>
          <w:sz w:val="32"/>
          <w:szCs w:val="32"/>
        </w:rPr>
        <w:t>4.</w:t>
      </w:r>
      <w:r>
        <w:rPr>
          <w:rFonts w:hint="eastAsia" w:eastAsia="仿宋_GB2312"/>
          <w:color w:val="000000"/>
          <w:sz w:val="32"/>
          <w:szCs w:val="32"/>
        </w:rPr>
        <w:t>着力实施</w:t>
      </w:r>
      <w:r>
        <w:rPr>
          <w:rFonts w:eastAsia="仿宋_GB2312"/>
          <w:color w:val="000000"/>
          <w:sz w:val="32"/>
          <w:szCs w:val="32"/>
        </w:rPr>
        <w:t>“</w:t>
      </w:r>
      <w:r>
        <w:rPr>
          <w:rFonts w:hint="eastAsia" w:eastAsia="仿宋_GB2312"/>
          <w:color w:val="000000"/>
          <w:sz w:val="32"/>
          <w:szCs w:val="32"/>
        </w:rPr>
        <w:t>三上三压</w:t>
      </w:r>
      <w:r>
        <w:rPr>
          <w:rFonts w:eastAsia="仿宋_GB2312"/>
          <w:color w:val="000000"/>
          <w:sz w:val="32"/>
          <w:szCs w:val="32"/>
        </w:rPr>
        <w:t>”</w:t>
      </w:r>
      <w:r>
        <w:rPr>
          <w:rFonts w:hint="eastAsia" w:eastAsia="仿宋_GB2312"/>
          <w:color w:val="000000"/>
          <w:sz w:val="32"/>
          <w:szCs w:val="32"/>
        </w:rPr>
        <w:t>。严禁钢铁、水泥、平板玻璃、电解铝、焦化、铸造等行业新增产能，对确有必要新建的必须实施等量或减量置换。</w:t>
      </w:r>
      <w:r>
        <w:rPr>
          <w:rFonts w:hint="eastAsia" w:eastAsia="楷体_GB2312"/>
          <w:color w:val="000000"/>
          <w:sz w:val="32"/>
          <w:szCs w:val="32"/>
        </w:rPr>
        <w:t>（经济发展局牵头）</w:t>
      </w:r>
    </w:p>
    <w:p>
      <w:pPr>
        <w:spacing w:line="560" w:lineRule="exact"/>
        <w:ind w:firstLine="640" w:firstLineChars="200"/>
        <w:rPr>
          <w:rFonts w:eastAsia="仿宋_GB2312"/>
          <w:color w:val="000000"/>
          <w:sz w:val="32"/>
          <w:szCs w:val="32"/>
        </w:rPr>
      </w:pPr>
      <w:r>
        <w:rPr>
          <w:rFonts w:eastAsia="仿宋_GB2312"/>
          <w:color w:val="000000"/>
          <w:sz w:val="32"/>
          <w:szCs w:val="32"/>
        </w:rPr>
        <w:t xml:space="preserve">5. </w:t>
      </w:r>
      <w:r>
        <w:rPr>
          <w:rFonts w:hint="eastAsia" w:eastAsia="仿宋_GB2312"/>
          <w:color w:val="000000"/>
          <w:sz w:val="32"/>
          <w:szCs w:val="32"/>
        </w:rPr>
        <w:t>着力实施季节性工业企业错峰生产。对重点高排放行业工业企业实施季节性生产调控，经济发展局、环保局牵头制定错峰生产调控方案，明确错峰生产的行业、企业清单及调控时段。</w:t>
      </w:r>
      <w:r>
        <w:rPr>
          <w:rFonts w:hint="eastAsia" w:eastAsia="楷体_GB2312"/>
          <w:color w:val="000000"/>
          <w:sz w:val="32"/>
          <w:szCs w:val="32"/>
        </w:rPr>
        <w:t>（经济发展局、环保局牵头）</w:t>
      </w:r>
    </w:p>
    <w:p>
      <w:pPr>
        <w:spacing w:line="560" w:lineRule="exact"/>
        <w:ind w:firstLine="640" w:firstLineChars="200"/>
        <w:rPr>
          <w:rFonts w:eastAsia="楷体_GB2312"/>
          <w:color w:val="000000"/>
          <w:sz w:val="32"/>
          <w:szCs w:val="32"/>
        </w:rPr>
      </w:pPr>
      <w:r>
        <w:rPr>
          <w:rFonts w:hint="eastAsia" w:eastAsia="楷体_GB2312"/>
          <w:color w:val="000000"/>
          <w:sz w:val="32"/>
          <w:szCs w:val="32"/>
        </w:rPr>
        <w:t>（二）增加新的增长动能</w:t>
      </w:r>
    </w:p>
    <w:p>
      <w:pPr>
        <w:spacing w:line="560" w:lineRule="exact"/>
        <w:ind w:firstLine="640" w:firstLineChars="200"/>
        <w:rPr>
          <w:color w:val="000000"/>
          <w:sz w:val="32"/>
          <w:szCs w:val="32"/>
        </w:rPr>
      </w:pPr>
      <w:r>
        <w:rPr>
          <w:rFonts w:eastAsia="仿宋_GB2312"/>
          <w:color w:val="000000"/>
          <w:sz w:val="32"/>
          <w:szCs w:val="32"/>
        </w:rPr>
        <w:t xml:space="preserve">1. </w:t>
      </w:r>
      <w:r>
        <w:rPr>
          <w:rFonts w:hint="eastAsia" w:eastAsia="仿宋_GB2312"/>
          <w:color w:val="000000"/>
          <w:sz w:val="32"/>
          <w:szCs w:val="32"/>
        </w:rPr>
        <w:t>大力发展战略性新兴产业。立足淄博高新区具有基础优势和发展前景的新兴产业领域，编制新兴产业培育壮大行动计划，在培植壮大新材料、高端装备制造、电子信息、生物医药、新能源和节能环保等五大新兴产业领域基础上，集中突破新材料、智能装备、新医药、电子信息</w:t>
      </w:r>
      <w:r>
        <w:rPr>
          <w:rFonts w:eastAsia="仿宋_GB2312"/>
          <w:color w:val="000000"/>
          <w:sz w:val="32"/>
          <w:szCs w:val="32"/>
        </w:rPr>
        <w:t>“</w:t>
      </w:r>
      <w:r>
        <w:rPr>
          <w:rFonts w:hint="eastAsia" w:eastAsia="仿宋_GB2312"/>
          <w:color w:val="000000"/>
          <w:sz w:val="32"/>
          <w:szCs w:val="32"/>
        </w:rPr>
        <w:t>四强</w:t>
      </w:r>
      <w:r>
        <w:rPr>
          <w:rFonts w:eastAsia="仿宋_GB2312"/>
          <w:color w:val="000000"/>
          <w:sz w:val="32"/>
          <w:szCs w:val="32"/>
        </w:rPr>
        <w:t>”</w:t>
      </w:r>
      <w:r>
        <w:rPr>
          <w:rFonts w:hint="eastAsia" w:eastAsia="仿宋_GB2312"/>
          <w:color w:val="000000"/>
          <w:sz w:val="32"/>
          <w:szCs w:val="32"/>
        </w:rPr>
        <w:t>产业。新材料产业，重点发展先进高分子材料、无机非金属新材料和特色金属新材料，超前布局碳纤维、石墨烯、生物基材料、超导材料、量子材料等前沿新材料，打造国内一流的新材料产业基地、国际领先的新材料研发和产业化中心。智能装备产业，重点发展新能源汽车及零部件、智能成套装备，打造集设计、研发、制造、服务于一体的智能装备产业体系。新医药产业，重点发展生物制药及化学制剂、高端医疗器械及制药装备，超前布局生物技术药物及生物类似药、化学新药及首仿药、海洋药物、高端医学诊疗设备等新产业领域，加快传统医药大市向现代医药强市跨越。电子信息产业，重点发展集成电路及元器件、微机电系统（</w:t>
      </w:r>
      <w:r>
        <w:rPr>
          <w:rFonts w:eastAsia="仿宋_GB2312"/>
          <w:color w:val="000000"/>
          <w:sz w:val="32"/>
          <w:szCs w:val="32"/>
        </w:rPr>
        <w:t>MEMS</w:t>
      </w:r>
      <w:r>
        <w:rPr>
          <w:rFonts w:hint="eastAsia" w:eastAsia="仿宋_GB2312"/>
          <w:color w:val="000000"/>
          <w:sz w:val="32"/>
          <w:szCs w:val="32"/>
        </w:rPr>
        <w:t>）及物联网、工业互联网及软件，打造融合创新、智能协同、安全可控的电子信息产业体系。</w:t>
      </w:r>
      <w:r>
        <w:rPr>
          <w:rFonts w:hint="eastAsia" w:eastAsia="楷体_GB2312"/>
          <w:color w:val="000000"/>
          <w:sz w:val="32"/>
          <w:szCs w:val="32"/>
        </w:rPr>
        <w:t>（经济发展局、科技局牵头）</w:t>
      </w:r>
    </w:p>
    <w:p>
      <w:pPr>
        <w:spacing w:line="560" w:lineRule="exact"/>
        <w:ind w:firstLine="640" w:firstLineChars="200"/>
        <w:rPr>
          <w:rFonts w:eastAsia="楷体_GB2312"/>
          <w:color w:val="000000"/>
          <w:sz w:val="32"/>
          <w:szCs w:val="32"/>
        </w:rPr>
      </w:pPr>
      <w:r>
        <w:rPr>
          <w:rFonts w:eastAsia="仿宋_GB2312"/>
          <w:color w:val="000000"/>
          <w:sz w:val="32"/>
          <w:szCs w:val="32"/>
        </w:rPr>
        <w:t xml:space="preserve">2. </w:t>
      </w:r>
      <w:r>
        <w:rPr>
          <w:rFonts w:hint="eastAsia" w:eastAsia="仿宋_GB2312"/>
          <w:color w:val="000000"/>
          <w:sz w:val="32"/>
          <w:szCs w:val="32"/>
        </w:rPr>
        <w:t>大力加快传统行业动能绿色改造。充分运用新技术、新材料、新工艺、新设备，以装备升级、工艺流程再造、智能化改造、绿色提升为重点，对七大传统行业实施新一轮技术改造，加快转化形成新动能基础力量。</w:t>
      </w:r>
      <w:r>
        <w:rPr>
          <w:rFonts w:hint="eastAsia" w:eastAsia="楷体_GB2312"/>
          <w:color w:val="000000"/>
          <w:sz w:val="32"/>
          <w:szCs w:val="32"/>
        </w:rPr>
        <w:t>（经济发展局牵头）</w:t>
      </w:r>
      <w:r>
        <w:rPr>
          <w:rFonts w:hint="eastAsia" w:eastAsia="仿宋_GB2312"/>
          <w:color w:val="000000"/>
          <w:sz w:val="32"/>
          <w:szCs w:val="32"/>
        </w:rPr>
        <w:t>配合构建市场导向的绿色技术创新应用体系，推行生产者责任延伸制度，强化产品全生命周期绿色管理。在能源、冶金、建材、有色、化工、电镀、造纸、印染、农副食品加工等行业，全面推进清洁化或园区循环化改造。</w:t>
      </w:r>
      <w:r>
        <w:rPr>
          <w:rFonts w:hint="eastAsia" w:eastAsia="楷体_GB2312"/>
          <w:color w:val="000000"/>
          <w:sz w:val="32"/>
          <w:szCs w:val="32"/>
        </w:rPr>
        <w:t>（环保局牵头）</w:t>
      </w:r>
    </w:p>
    <w:p>
      <w:pPr>
        <w:spacing w:line="560" w:lineRule="exact"/>
        <w:ind w:firstLine="640" w:firstLineChars="200"/>
        <w:rPr>
          <w:rFonts w:eastAsia="楷体_GB2312"/>
          <w:color w:val="000000"/>
          <w:sz w:val="32"/>
          <w:szCs w:val="32"/>
        </w:rPr>
      </w:pPr>
      <w:r>
        <w:rPr>
          <w:rFonts w:eastAsia="仿宋_GB2312"/>
          <w:color w:val="000000"/>
          <w:sz w:val="32"/>
          <w:szCs w:val="32"/>
        </w:rPr>
        <w:t xml:space="preserve">3. </w:t>
      </w:r>
      <w:r>
        <w:rPr>
          <w:rFonts w:hint="eastAsia" w:eastAsia="仿宋_GB2312"/>
          <w:color w:val="000000"/>
          <w:sz w:val="32"/>
          <w:szCs w:val="32"/>
        </w:rPr>
        <w:t>大力发展节能环保产业。壮大绿色产业规模，发展节能环保产业、清洁生产产业、清洁能源产业、新能源汽车产业。重点突破能源高效利用、环境污染防治、</w:t>
      </w:r>
      <w:r>
        <w:rPr>
          <w:rFonts w:eastAsia="仿宋_GB2312"/>
          <w:color w:val="000000"/>
          <w:sz w:val="32"/>
          <w:szCs w:val="32"/>
        </w:rPr>
        <w:t>VOCs</w:t>
      </w:r>
      <w:r>
        <w:rPr>
          <w:rFonts w:hint="eastAsia" w:eastAsia="仿宋_GB2312"/>
          <w:color w:val="000000"/>
          <w:sz w:val="32"/>
          <w:szCs w:val="32"/>
        </w:rPr>
        <w:t>综合治理、资源综合利用等关键核心技术，提升节能装备和环保装备技术水平，发展环保材料、环保药剂及污水、污泥、恶臭气体处理技术与设备。大力发展节能服务、环保设施社会化运营、环境咨询、环境监理、工程技术设计、认证评估等节能环保服务业，积极推行节能环保整体解决方案，加快发展合同能源管理、合同节水管理、环境污染第三方治理和监测等新业态，积极探索区域环境托管服务等新模式。对政府实施的环境绩效合同服务项目，公共财政支付水平同治理绩效挂钩，鼓励通过政府购买服务方式实施生态环境治理和保护。巩固壮大新能源汽车产业，提高新能源专用车动力电池及管理系统、电机及其控制系统、整车控制系统、智能网联系统的研发制造能力，大力引进发展中高档纯电动乘用车。到</w:t>
      </w:r>
      <w:r>
        <w:rPr>
          <w:rFonts w:eastAsia="仿宋_GB2312"/>
          <w:color w:val="000000"/>
          <w:sz w:val="32"/>
          <w:szCs w:val="32"/>
        </w:rPr>
        <w:t>2020</w:t>
      </w:r>
      <w:r>
        <w:rPr>
          <w:rFonts w:hint="eastAsia" w:eastAsia="仿宋_GB2312"/>
          <w:color w:val="000000"/>
          <w:sz w:val="32"/>
          <w:szCs w:val="32"/>
        </w:rPr>
        <w:t>年全区新能源和节约环保产业实现主营业务收入达到</w:t>
      </w:r>
      <w:r>
        <w:rPr>
          <w:rFonts w:eastAsia="仿宋_GB2312"/>
          <w:color w:val="000000"/>
          <w:sz w:val="32"/>
          <w:szCs w:val="32"/>
        </w:rPr>
        <w:t>66</w:t>
      </w:r>
      <w:r>
        <w:rPr>
          <w:rFonts w:hint="eastAsia" w:eastAsia="仿宋_GB2312"/>
          <w:color w:val="000000"/>
          <w:sz w:val="32"/>
          <w:szCs w:val="32"/>
        </w:rPr>
        <w:t>亿元。</w:t>
      </w:r>
      <w:r>
        <w:rPr>
          <w:rFonts w:hint="eastAsia" w:eastAsia="楷体_GB2312"/>
          <w:color w:val="000000"/>
          <w:sz w:val="32"/>
          <w:szCs w:val="32"/>
        </w:rPr>
        <w:t>（经济发展局牵头）</w:t>
      </w:r>
    </w:p>
    <w:p>
      <w:pPr>
        <w:spacing w:line="560" w:lineRule="exact"/>
        <w:ind w:firstLine="640" w:firstLineChars="200"/>
        <w:rPr>
          <w:color w:val="000000"/>
          <w:sz w:val="32"/>
          <w:szCs w:val="32"/>
        </w:rPr>
      </w:pPr>
      <w:r>
        <w:rPr>
          <w:rFonts w:eastAsia="仿宋_GB2312"/>
          <w:color w:val="000000"/>
          <w:sz w:val="32"/>
          <w:szCs w:val="32"/>
        </w:rPr>
        <w:t xml:space="preserve">4. </w:t>
      </w:r>
      <w:r>
        <w:rPr>
          <w:rFonts w:hint="eastAsia" w:eastAsia="仿宋_GB2312"/>
          <w:color w:val="000000"/>
          <w:sz w:val="32"/>
          <w:szCs w:val="32"/>
        </w:rPr>
        <w:t>大力优化空间布局。采取</w:t>
      </w:r>
      <w:r>
        <w:rPr>
          <w:rFonts w:eastAsia="仿宋_GB2312"/>
          <w:color w:val="000000"/>
          <w:sz w:val="32"/>
          <w:szCs w:val="32"/>
        </w:rPr>
        <w:t>“</w:t>
      </w:r>
      <w:r>
        <w:rPr>
          <w:rFonts w:hint="eastAsia" w:eastAsia="仿宋_GB2312"/>
          <w:color w:val="000000"/>
          <w:sz w:val="32"/>
          <w:szCs w:val="32"/>
        </w:rPr>
        <w:t>产能总量和污染物总量双平衡法</w:t>
      </w:r>
      <w:r>
        <w:rPr>
          <w:rFonts w:eastAsia="仿宋_GB2312"/>
          <w:color w:val="000000"/>
          <w:sz w:val="32"/>
          <w:szCs w:val="32"/>
        </w:rPr>
        <w:t>”</w:t>
      </w:r>
      <w:r>
        <w:rPr>
          <w:rFonts w:hint="eastAsia" w:eastAsia="仿宋_GB2312"/>
          <w:color w:val="000000"/>
          <w:sz w:val="32"/>
          <w:szCs w:val="32"/>
        </w:rPr>
        <w:t>，优化整合钢铁、焦化、轮胎等行业产能布局，优化整合过程中相关产能总量不能增加；落实污染物总量采取新产能落地区域内平衡，通过减量或等量替代，优化整合过程中不能增加新产能落地区域的污染物排放总量。新优化产能投产之时，被整合老产能一律依法同时或提前关停。</w:t>
      </w:r>
      <w:r>
        <w:rPr>
          <w:rFonts w:hint="eastAsia" w:eastAsia="楷体_GB2312"/>
          <w:color w:val="000000"/>
          <w:sz w:val="32"/>
          <w:szCs w:val="32"/>
        </w:rPr>
        <w:t>（经济发展局、环保局牵头）</w:t>
      </w:r>
      <w:r>
        <w:rPr>
          <w:rFonts w:hint="eastAsia" w:eastAsia="仿宋_GB2312"/>
          <w:color w:val="000000"/>
          <w:sz w:val="32"/>
          <w:szCs w:val="32"/>
        </w:rPr>
        <w:t>积极推进</w:t>
      </w:r>
      <w:r>
        <w:rPr>
          <w:rFonts w:eastAsia="仿宋_GB2312"/>
          <w:color w:val="000000"/>
          <w:sz w:val="32"/>
          <w:szCs w:val="32"/>
        </w:rPr>
        <w:t>“</w:t>
      </w:r>
      <w:r>
        <w:rPr>
          <w:rFonts w:hint="eastAsia" w:eastAsia="仿宋_GB2312"/>
          <w:color w:val="000000"/>
          <w:sz w:val="32"/>
          <w:szCs w:val="32"/>
        </w:rPr>
        <w:t>多规合一</w:t>
      </w:r>
      <w:r>
        <w:rPr>
          <w:rFonts w:eastAsia="仿宋_GB2312"/>
          <w:color w:val="000000"/>
          <w:sz w:val="32"/>
          <w:szCs w:val="32"/>
        </w:rPr>
        <w:t>”</w:t>
      </w:r>
      <w:r>
        <w:rPr>
          <w:rFonts w:hint="eastAsia" w:eastAsia="仿宋_GB2312"/>
          <w:color w:val="000000"/>
          <w:sz w:val="32"/>
          <w:szCs w:val="32"/>
        </w:rPr>
        <w:t>试点工作，深入贯彻落实国家、省、市实施主体功能区战略和制度的有关要求，出台产业准入负面清单、生态修复补偿、差异化考核评价等制度，健全完善主体功能区建设长效机制。</w:t>
      </w:r>
      <w:r>
        <w:rPr>
          <w:rFonts w:hint="eastAsia" w:eastAsia="楷体_GB2312"/>
          <w:color w:val="000000"/>
          <w:sz w:val="32"/>
          <w:szCs w:val="32"/>
        </w:rPr>
        <w:t>（经济发展局、高新区国土分局、环保局、建设局牵头）</w:t>
      </w:r>
      <w:r>
        <w:rPr>
          <w:rFonts w:eastAsia="仿宋_GB2312"/>
          <w:color w:val="000000"/>
          <w:sz w:val="32"/>
          <w:szCs w:val="32"/>
        </w:rPr>
        <w:t>2019</w:t>
      </w:r>
      <w:r>
        <w:rPr>
          <w:rFonts w:hint="eastAsia" w:eastAsia="仿宋_GB2312"/>
          <w:color w:val="000000"/>
          <w:sz w:val="32"/>
          <w:szCs w:val="32"/>
        </w:rPr>
        <w:t>年年底前，按照上级部署，完成生态保护红线、环境质量底线、资源利用上线和环境准入负面清单（</w:t>
      </w:r>
      <w:r>
        <w:rPr>
          <w:rFonts w:eastAsia="仿宋_GB2312"/>
          <w:color w:val="000000"/>
          <w:sz w:val="32"/>
          <w:szCs w:val="32"/>
        </w:rPr>
        <w:t>“</w:t>
      </w:r>
      <w:r>
        <w:rPr>
          <w:rFonts w:hint="eastAsia" w:eastAsia="仿宋_GB2312"/>
          <w:color w:val="000000"/>
          <w:sz w:val="32"/>
          <w:szCs w:val="32"/>
        </w:rPr>
        <w:t>三线一单</w:t>
      </w:r>
      <w:r>
        <w:rPr>
          <w:rFonts w:eastAsia="仿宋_GB2312"/>
          <w:color w:val="000000"/>
          <w:sz w:val="32"/>
          <w:szCs w:val="32"/>
        </w:rPr>
        <w:t>”</w:t>
      </w:r>
      <w:r>
        <w:rPr>
          <w:rFonts w:hint="eastAsia" w:eastAsia="仿宋_GB2312"/>
          <w:color w:val="000000"/>
          <w:sz w:val="32"/>
          <w:szCs w:val="32"/>
        </w:rPr>
        <w:t>）编制工作。积极推行区域规划环境影响评价，新、改、扩建项目的环境影响评价，应满足区域规划环评的要求。组织对土地利用有关规划和区域、流域建设开发利用规划以及工业、农业、畜牧业、渔业、林业、能源、水利、交通、城市建设、旅游、自然资源开发等有关专项规划进行环境影响评价，调整优化不符合生态环境功能定位的产业布局、规模和结构。正在实施但未开展环境影响评价的规划，要在</w:t>
      </w:r>
      <w:r>
        <w:rPr>
          <w:rFonts w:eastAsia="仿宋_GB2312"/>
          <w:color w:val="000000"/>
          <w:sz w:val="32"/>
          <w:szCs w:val="32"/>
        </w:rPr>
        <w:t>2018</w:t>
      </w:r>
      <w:r>
        <w:rPr>
          <w:rFonts w:hint="eastAsia" w:eastAsia="仿宋_GB2312"/>
          <w:color w:val="000000"/>
          <w:sz w:val="32"/>
          <w:szCs w:val="32"/>
        </w:rPr>
        <w:t>年年底前完成环境影响评价，并同步修订规划内容。</w:t>
      </w:r>
      <w:r>
        <w:rPr>
          <w:rFonts w:hint="eastAsia" w:eastAsia="楷体_GB2312"/>
          <w:color w:val="000000"/>
          <w:sz w:val="32"/>
          <w:szCs w:val="32"/>
        </w:rPr>
        <w:t>（环保局、经济发展局牵头）</w:t>
      </w:r>
    </w:p>
    <w:p>
      <w:pPr>
        <w:spacing w:line="560" w:lineRule="exact"/>
        <w:ind w:firstLine="640" w:firstLineChars="200"/>
        <w:rPr>
          <w:color w:val="000000"/>
          <w:sz w:val="32"/>
          <w:szCs w:val="32"/>
        </w:rPr>
      </w:pPr>
      <w:r>
        <w:rPr>
          <w:rFonts w:hint="eastAsia" w:eastAsia="仿宋_GB2312"/>
          <w:color w:val="000000"/>
          <w:sz w:val="32"/>
          <w:szCs w:val="32"/>
        </w:rPr>
        <w:t>提升园区集约发展水平，高新区在无化工园区的情况下，依据化工生产企业</w:t>
      </w:r>
      <w:r>
        <w:rPr>
          <w:rFonts w:eastAsia="仿宋_GB2312"/>
          <w:color w:val="000000"/>
          <w:sz w:val="32"/>
          <w:szCs w:val="32"/>
        </w:rPr>
        <w:t>“</w:t>
      </w:r>
      <w:r>
        <w:rPr>
          <w:rFonts w:hint="eastAsia" w:eastAsia="仿宋_GB2312"/>
          <w:color w:val="000000"/>
          <w:sz w:val="32"/>
          <w:szCs w:val="32"/>
        </w:rPr>
        <w:t>四评级一评价</w:t>
      </w:r>
      <w:r>
        <w:rPr>
          <w:rFonts w:eastAsia="仿宋_GB2312"/>
          <w:color w:val="000000"/>
          <w:sz w:val="32"/>
          <w:szCs w:val="32"/>
        </w:rPr>
        <w:t>”</w:t>
      </w:r>
      <w:r>
        <w:rPr>
          <w:rFonts w:hint="eastAsia" w:eastAsia="仿宋_GB2312"/>
          <w:color w:val="000000"/>
          <w:sz w:val="32"/>
          <w:szCs w:val="32"/>
        </w:rPr>
        <w:t>结果和</w:t>
      </w:r>
      <w:r>
        <w:rPr>
          <w:rFonts w:eastAsia="仿宋_GB2312"/>
          <w:color w:val="000000"/>
          <w:sz w:val="32"/>
          <w:szCs w:val="32"/>
        </w:rPr>
        <w:t>“</w:t>
      </w:r>
      <w:r>
        <w:rPr>
          <w:rFonts w:hint="eastAsia" w:eastAsia="仿宋_GB2312"/>
          <w:color w:val="000000"/>
          <w:sz w:val="32"/>
          <w:szCs w:val="32"/>
        </w:rPr>
        <w:t>三个一批</w:t>
      </w:r>
      <w:r>
        <w:rPr>
          <w:rFonts w:eastAsia="仿宋_GB2312"/>
          <w:color w:val="000000"/>
          <w:sz w:val="32"/>
          <w:szCs w:val="32"/>
        </w:rPr>
        <w:t>”</w:t>
      </w:r>
      <w:r>
        <w:rPr>
          <w:rFonts w:hint="eastAsia" w:eastAsia="仿宋_GB2312"/>
          <w:color w:val="000000"/>
          <w:sz w:val="32"/>
          <w:szCs w:val="32"/>
        </w:rPr>
        <w:t>名单，制定保留化工企业和退出化工企业名单。对于列入保留化工企业名单中企业，依托化工重点监控点为载体。把提高供给体系质量作为主攻方向，通过市场机制、经济手段，促进化工企业兼并重组和上下游深度融合发展，提高化工产业生产规模化、集约化、专业化水平，促进兼并重组的企业做大做强，监控点企业达到</w:t>
      </w:r>
      <w:r>
        <w:rPr>
          <w:rFonts w:eastAsia="仿宋_GB2312"/>
          <w:color w:val="000000"/>
          <w:sz w:val="32"/>
          <w:szCs w:val="32"/>
        </w:rPr>
        <w:t>4</w:t>
      </w:r>
      <w:r>
        <w:rPr>
          <w:rFonts w:hint="eastAsia" w:eastAsia="仿宋_GB2312"/>
          <w:color w:val="000000"/>
          <w:sz w:val="32"/>
          <w:szCs w:val="32"/>
        </w:rPr>
        <w:t>家。对于列入退出淘汰化工生产名单的企业，高新区将根据省市政策指引，有序的在</w:t>
      </w:r>
      <w:r>
        <w:rPr>
          <w:rFonts w:eastAsia="仿宋_GB2312"/>
          <w:color w:val="000000"/>
          <w:sz w:val="32"/>
          <w:szCs w:val="32"/>
        </w:rPr>
        <w:t>2020</w:t>
      </w:r>
      <w:r>
        <w:rPr>
          <w:rFonts w:hint="eastAsia" w:eastAsia="仿宋_GB2312"/>
          <w:color w:val="000000"/>
          <w:sz w:val="32"/>
          <w:szCs w:val="32"/>
        </w:rPr>
        <w:t>年前实现转产、关闭、搬迁、淘汰等工作；同时高新区将积极帮助支持辖区化工企业搬迁至其他地市、区县化工产业园区。</w:t>
      </w:r>
      <w:r>
        <w:rPr>
          <w:rFonts w:hint="eastAsia" w:eastAsia="楷体_GB2312"/>
          <w:color w:val="000000"/>
          <w:sz w:val="32"/>
          <w:szCs w:val="32"/>
        </w:rPr>
        <w:t>（经济发展局牵头）</w:t>
      </w:r>
      <w:r>
        <w:rPr>
          <w:rFonts w:hint="eastAsia" w:eastAsia="仿宋_GB2312"/>
          <w:color w:val="000000"/>
          <w:sz w:val="32"/>
          <w:szCs w:val="32"/>
        </w:rPr>
        <w:t>大力提升生态工业园区建设水平，进一步强化园区创建动力和示范性，鼓励园区探索符合本地发展实际、具有代表性和示范性的发展模式和组织方式。</w:t>
      </w:r>
      <w:r>
        <w:rPr>
          <w:rFonts w:hint="eastAsia" w:eastAsia="楷体_GB2312"/>
          <w:color w:val="000000"/>
          <w:sz w:val="32"/>
          <w:szCs w:val="32"/>
        </w:rPr>
        <w:t>（环保局牵头）</w:t>
      </w:r>
    </w:p>
    <w:p>
      <w:pPr>
        <w:spacing w:line="560" w:lineRule="exact"/>
        <w:ind w:firstLine="640" w:firstLineChars="200"/>
        <w:rPr>
          <w:color w:val="000000"/>
          <w:sz w:val="32"/>
          <w:szCs w:val="32"/>
        </w:rPr>
      </w:pPr>
      <w:r>
        <w:rPr>
          <w:rFonts w:eastAsia="仿宋_GB2312"/>
          <w:color w:val="000000"/>
          <w:sz w:val="32"/>
          <w:szCs w:val="32"/>
        </w:rPr>
        <w:t xml:space="preserve">5. </w:t>
      </w:r>
      <w:r>
        <w:rPr>
          <w:rFonts w:hint="eastAsia" w:eastAsia="仿宋_GB2312"/>
          <w:color w:val="000000"/>
          <w:sz w:val="32"/>
          <w:szCs w:val="32"/>
        </w:rPr>
        <w:t>发展现代高效农业，加快构建现代农业产业体系、生产体系、经营体系。推进农村一二三产业深度融合，积极培育和发展农业</w:t>
      </w:r>
      <w:r>
        <w:rPr>
          <w:rFonts w:eastAsia="仿宋_GB2312"/>
          <w:color w:val="000000"/>
          <w:sz w:val="32"/>
          <w:szCs w:val="32"/>
        </w:rPr>
        <w:t>“</w:t>
      </w:r>
      <w:r>
        <w:rPr>
          <w:rFonts w:hint="eastAsia" w:eastAsia="仿宋_GB2312"/>
          <w:color w:val="000000"/>
          <w:sz w:val="32"/>
          <w:szCs w:val="32"/>
        </w:rPr>
        <w:t>新六产</w:t>
      </w:r>
      <w:r>
        <w:rPr>
          <w:rFonts w:eastAsia="仿宋_GB2312"/>
          <w:color w:val="000000"/>
          <w:sz w:val="32"/>
          <w:szCs w:val="32"/>
        </w:rPr>
        <w:t>”</w:t>
      </w:r>
      <w:r>
        <w:rPr>
          <w:rFonts w:hint="eastAsia" w:eastAsia="仿宋_GB2312"/>
          <w:color w:val="000000"/>
          <w:sz w:val="32"/>
          <w:szCs w:val="32"/>
        </w:rPr>
        <w:t>。大力发展特色高效农业，推进农业标准化生产、全程化监管，划定和建设粮食生产功能区，着力增加绿色优质农产品。</w:t>
      </w:r>
      <w:r>
        <w:rPr>
          <w:rFonts w:hint="eastAsia" w:eastAsia="楷体_GB2312"/>
          <w:color w:val="000000"/>
          <w:sz w:val="32"/>
          <w:szCs w:val="32"/>
        </w:rPr>
        <w:t>（地方事业局牵头）</w:t>
      </w:r>
    </w:p>
    <w:p>
      <w:pPr>
        <w:spacing w:line="560" w:lineRule="exact"/>
        <w:ind w:firstLine="640" w:firstLineChars="200"/>
        <w:rPr>
          <w:rFonts w:eastAsia="黑体"/>
          <w:color w:val="000000"/>
          <w:sz w:val="32"/>
          <w:szCs w:val="32"/>
        </w:rPr>
      </w:pPr>
      <w:r>
        <w:rPr>
          <w:rFonts w:hint="eastAsia" w:eastAsia="黑体"/>
          <w:color w:val="000000"/>
          <w:sz w:val="32"/>
          <w:szCs w:val="32"/>
        </w:rPr>
        <w:t>三、调整能源结构</w:t>
      </w:r>
    </w:p>
    <w:p>
      <w:pPr>
        <w:spacing w:line="560" w:lineRule="exact"/>
        <w:ind w:firstLine="640" w:firstLineChars="200"/>
        <w:rPr>
          <w:rFonts w:eastAsia="仿宋_GB2312"/>
          <w:color w:val="000000"/>
          <w:sz w:val="32"/>
          <w:szCs w:val="32"/>
        </w:rPr>
      </w:pPr>
      <w:r>
        <w:rPr>
          <w:rFonts w:hint="eastAsia" w:eastAsia="仿宋_GB2312"/>
          <w:color w:val="000000"/>
          <w:sz w:val="32"/>
          <w:szCs w:val="32"/>
        </w:rPr>
        <w:t>按照控增量、减存量、提效率的系统治理思路，进一步加大煤炭消费减量替代工作力度，增加清洁能源使用，确保完成市节能环保约束性指标。到</w:t>
      </w:r>
      <w:r>
        <w:rPr>
          <w:rFonts w:eastAsia="仿宋_GB2312"/>
          <w:color w:val="000000"/>
          <w:sz w:val="32"/>
          <w:szCs w:val="32"/>
        </w:rPr>
        <w:t>2020</w:t>
      </w:r>
      <w:r>
        <w:rPr>
          <w:rFonts w:hint="eastAsia" w:eastAsia="仿宋_GB2312"/>
          <w:color w:val="000000"/>
          <w:sz w:val="32"/>
          <w:szCs w:val="32"/>
        </w:rPr>
        <w:t>年，煤炭消费总量控制在</w:t>
      </w:r>
      <w:r>
        <w:rPr>
          <w:rFonts w:eastAsia="仿宋_GB2312"/>
          <w:color w:val="000000"/>
          <w:sz w:val="32"/>
          <w:szCs w:val="32"/>
        </w:rPr>
        <w:t>270</w:t>
      </w:r>
      <w:r>
        <w:rPr>
          <w:rFonts w:hint="eastAsia" w:eastAsia="仿宋_GB2312"/>
          <w:color w:val="000000"/>
          <w:sz w:val="32"/>
          <w:szCs w:val="32"/>
        </w:rPr>
        <w:t>万吨；单位地区生产总值能耗比</w:t>
      </w:r>
      <w:r>
        <w:rPr>
          <w:rFonts w:eastAsia="仿宋_GB2312"/>
          <w:color w:val="000000"/>
          <w:sz w:val="32"/>
          <w:szCs w:val="32"/>
        </w:rPr>
        <w:t>2015</w:t>
      </w:r>
      <w:r>
        <w:rPr>
          <w:rFonts w:hint="eastAsia" w:eastAsia="仿宋_GB2312"/>
          <w:color w:val="000000"/>
          <w:sz w:val="32"/>
          <w:szCs w:val="32"/>
        </w:rPr>
        <w:t>年下降</w:t>
      </w:r>
      <w:r>
        <w:rPr>
          <w:rFonts w:eastAsia="仿宋_GB2312"/>
          <w:color w:val="000000"/>
          <w:sz w:val="32"/>
          <w:szCs w:val="32"/>
        </w:rPr>
        <w:t>18%</w:t>
      </w:r>
      <w:r>
        <w:rPr>
          <w:rFonts w:hint="eastAsia" w:eastAsia="仿宋_GB2312"/>
          <w:color w:val="000000"/>
          <w:sz w:val="32"/>
          <w:szCs w:val="32"/>
        </w:rPr>
        <w:t>，能源消费增量较</w:t>
      </w:r>
      <w:r>
        <w:rPr>
          <w:rFonts w:eastAsia="仿宋_GB2312"/>
          <w:color w:val="000000"/>
          <w:sz w:val="32"/>
          <w:szCs w:val="32"/>
        </w:rPr>
        <w:t>“</w:t>
      </w:r>
      <w:r>
        <w:rPr>
          <w:rFonts w:hint="eastAsia" w:eastAsia="仿宋_GB2312"/>
          <w:color w:val="000000"/>
          <w:sz w:val="32"/>
          <w:szCs w:val="32"/>
        </w:rPr>
        <w:t>十二五</w:t>
      </w:r>
      <w:r>
        <w:rPr>
          <w:rFonts w:eastAsia="仿宋_GB2312"/>
          <w:color w:val="000000"/>
          <w:sz w:val="32"/>
          <w:szCs w:val="32"/>
        </w:rPr>
        <w:t>”</w:t>
      </w:r>
      <w:r>
        <w:rPr>
          <w:rFonts w:hint="eastAsia" w:eastAsia="仿宋_GB2312"/>
          <w:color w:val="000000"/>
          <w:sz w:val="32"/>
          <w:szCs w:val="32"/>
        </w:rPr>
        <w:t>末不超过</w:t>
      </w:r>
      <w:r>
        <w:rPr>
          <w:rFonts w:eastAsia="仿宋_GB2312"/>
          <w:color w:val="000000"/>
          <w:sz w:val="32"/>
          <w:szCs w:val="32"/>
        </w:rPr>
        <w:t>9.7</w:t>
      </w:r>
      <w:r>
        <w:rPr>
          <w:rFonts w:hint="eastAsia" w:eastAsia="仿宋_GB2312"/>
          <w:color w:val="000000"/>
          <w:sz w:val="32"/>
          <w:szCs w:val="32"/>
        </w:rPr>
        <w:t>万吨标准煤。</w:t>
      </w:r>
    </w:p>
    <w:p>
      <w:pPr>
        <w:spacing w:line="560" w:lineRule="exact"/>
        <w:ind w:firstLine="640" w:firstLineChars="200"/>
        <w:rPr>
          <w:rFonts w:eastAsia="楷体_GB2312"/>
          <w:color w:val="000000"/>
          <w:sz w:val="32"/>
          <w:szCs w:val="32"/>
        </w:rPr>
      </w:pPr>
      <w:r>
        <w:rPr>
          <w:rFonts w:hint="eastAsia" w:eastAsia="楷体_GB2312"/>
          <w:color w:val="000000"/>
          <w:sz w:val="32"/>
          <w:szCs w:val="32"/>
        </w:rPr>
        <w:t>（一）减少煤炭消费</w:t>
      </w:r>
    </w:p>
    <w:p>
      <w:pPr>
        <w:spacing w:line="560" w:lineRule="exact"/>
        <w:ind w:firstLine="640" w:firstLineChars="200"/>
        <w:rPr>
          <w:color w:val="000000"/>
          <w:sz w:val="32"/>
          <w:szCs w:val="32"/>
        </w:rPr>
      </w:pPr>
      <w:r>
        <w:rPr>
          <w:rFonts w:eastAsia="仿宋_GB2312"/>
          <w:color w:val="000000"/>
          <w:sz w:val="32"/>
          <w:szCs w:val="32"/>
        </w:rPr>
        <w:t xml:space="preserve">1. </w:t>
      </w:r>
      <w:r>
        <w:rPr>
          <w:rFonts w:hint="eastAsia" w:eastAsia="仿宋_GB2312"/>
          <w:color w:val="000000"/>
          <w:sz w:val="32"/>
          <w:szCs w:val="32"/>
        </w:rPr>
        <w:t>着力压缩煤炭存量消费。推进燃煤锅炉和工业炉窑综合整治，</w:t>
      </w:r>
      <w:r>
        <w:rPr>
          <w:rFonts w:eastAsia="仿宋_GB2312"/>
          <w:color w:val="000000"/>
          <w:sz w:val="32"/>
          <w:szCs w:val="32"/>
        </w:rPr>
        <w:t>30</w:t>
      </w:r>
      <w:r>
        <w:rPr>
          <w:rFonts w:hint="eastAsia" w:eastAsia="仿宋_GB2312"/>
          <w:color w:val="000000"/>
          <w:sz w:val="32"/>
          <w:szCs w:val="32"/>
        </w:rPr>
        <w:t>万千瓦及以上热电联产电厂</w:t>
      </w:r>
      <w:r>
        <w:rPr>
          <w:rFonts w:eastAsia="仿宋_GB2312"/>
          <w:color w:val="000000"/>
          <w:sz w:val="32"/>
          <w:szCs w:val="32"/>
        </w:rPr>
        <w:t>15</w:t>
      </w:r>
      <w:r>
        <w:rPr>
          <w:rFonts w:hint="eastAsia" w:eastAsia="仿宋_GB2312"/>
          <w:color w:val="000000"/>
          <w:sz w:val="32"/>
          <w:szCs w:val="32"/>
        </w:rPr>
        <w:t>公里供热半径范围内的燃煤锅炉有步骤、分阶段全部关停整合。全面淘汰</w:t>
      </w:r>
      <w:r>
        <w:rPr>
          <w:rFonts w:eastAsia="仿宋_GB2312"/>
          <w:color w:val="000000"/>
          <w:sz w:val="32"/>
          <w:szCs w:val="32"/>
        </w:rPr>
        <w:t>20</w:t>
      </w:r>
      <w:r>
        <w:rPr>
          <w:rFonts w:hint="eastAsia" w:eastAsia="仿宋_GB2312"/>
          <w:color w:val="000000"/>
          <w:sz w:val="32"/>
          <w:szCs w:val="32"/>
        </w:rPr>
        <w:t>蒸吨</w:t>
      </w:r>
      <w:r>
        <w:rPr>
          <w:rFonts w:eastAsia="仿宋_GB2312"/>
          <w:color w:val="000000"/>
          <w:sz w:val="32"/>
          <w:szCs w:val="32"/>
        </w:rPr>
        <w:t>/</w:t>
      </w:r>
      <w:r>
        <w:rPr>
          <w:rFonts w:hint="eastAsia" w:eastAsia="仿宋_GB2312"/>
          <w:color w:val="000000"/>
          <w:sz w:val="32"/>
          <w:szCs w:val="32"/>
        </w:rPr>
        <w:t>小时及以下燃煤锅炉。按照上级要求启动</w:t>
      </w:r>
      <w:r>
        <w:rPr>
          <w:rFonts w:eastAsia="仿宋_GB2312"/>
          <w:color w:val="000000"/>
          <w:sz w:val="32"/>
          <w:szCs w:val="32"/>
        </w:rPr>
        <w:t>35</w:t>
      </w:r>
      <w:r>
        <w:rPr>
          <w:rFonts w:hint="eastAsia" w:eastAsia="仿宋_GB2312"/>
          <w:color w:val="000000"/>
          <w:sz w:val="32"/>
          <w:szCs w:val="32"/>
        </w:rPr>
        <w:t>蒸吨</w:t>
      </w:r>
      <w:r>
        <w:rPr>
          <w:rFonts w:eastAsia="仿宋_GB2312"/>
          <w:color w:val="000000"/>
          <w:sz w:val="32"/>
          <w:szCs w:val="32"/>
        </w:rPr>
        <w:t>/</w:t>
      </w:r>
      <w:r>
        <w:rPr>
          <w:rFonts w:hint="eastAsia" w:eastAsia="仿宋_GB2312"/>
          <w:color w:val="000000"/>
          <w:sz w:val="32"/>
          <w:szCs w:val="32"/>
        </w:rPr>
        <w:t>小时以下燃煤锅炉的淘汰工作，确需保留的，必须实现超低排放改造并与省市县三级监控网络联网且稳定运行。</w:t>
      </w:r>
      <w:r>
        <w:rPr>
          <w:rFonts w:eastAsia="仿宋_GB2312"/>
          <w:color w:val="000000"/>
          <w:sz w:val="32"/>
          <w:szCs w:val="32"/>
        </w:rPr>
        <w:t>65</w:t>
      </w:r>
      <w:r>
        <w:rPr>
          <w:rFonts w:hint="eastAsia" w:eastAsia="仿宋_GB2312"/>
          <w:color w:val="000000"/>
          <w:sz w:val="32"/>
          <w:szCs w:val="32"/>
        </w:rPr>
        <w:t>蒸吨</w:t>
      </w:r>
      <w:r>
        <w:rPr>
          <w:rFonts w:eastAsia="仿宋_GB2312"/>
          <w:color w:val="000000"/>
          <w:sz w:val="32"/>
          <w:szCs w:val="32"/>
        </w:rPr>
        <w:t>/</w:t>
      </w:r>
      <w:r>
        <w:rPr>
          <w:rFonts w:hint="eastAsia" w:eastAsia="仿宋_GB2312"/>
          <w:color w:val="000000"/>
          <w:sz w:val="32"/>
          <w:szCs w:val="32"/>
        </w:rPr>
        <w:t>小时及以上燃煤锅炉全部实现节能和超低排放。加快推进平板玻璃、建筑陶瓷等行业工业炉窑清洁能源替代。</w:t>
      </w:r>
      <w:r>
        <w:rPr>
          <w:rFonts w:hint="eastAsia" w:eastAsia="楷体_GB2312"/>
          <w:color w:val="000000"/>
          <w:sz w:val="32"/>
          <w:szCs w:val="32"/>
        </w:rPr>
        <w:t>（环保局、经济发展局牵头）</w:t>
      </w:r>
    </w:p>
    <w:p>
      <w:pPr>
        <w:spacing w:line="560" w:lineRule="exact"/>
        <w:ind w:firstLine="640" w:firstLineChars="200"/>
        <w:rPr>
          <w:color w:val="000000"/>
          <w:sz w:val="32"/>
          <w:szCs w:val="32"/>
        </w:rPr>
      </w:pPr>
      <w:r>
        <w:rPr>
          <w:rFonts w:hint="eastAsia" w:eastAsia="仿宋_GB2312"/>
          <w:color w:val="000000"/>
          <w:sz w:val="32"/>
          <w:szCs w:val="32"/>
        </w:rPr>
        <w:t>加快淘汰落后燃煤机组，淘汰一批服役期较长机组、大机组供热覆盖范围内的小机组、去产能企业配套机组和环保、能耗、安全等不达标且不具备改造提升条件的</w:t>
      </w:r>
      <w:r>
        <w:rPr>
          <w:rFonts w:eastAsia="仿宋_GB2312"/>
          <w:color w:val="000000"/>
          <w:sz w:val="32"/>
          <w:szCs w:val="32"/>
        </w:rPr>
        <w:t>30</w:t>
      </w:r>
      <w:r>
        <w:rPr>
          <w:rFonts w:hint="eastAsia" w:eastAsia="仿宋_GB2312"/>
          <w:color w:val="000000"/>
          <w:sz w:val="32"/>
          <w:szCs w:val="32"/>
        </w:rPr>
        <w:t>万千瓦以下机组；清理整顿违法违规建设的燃煤机组，优先淘汰</w:t>
      </w:r>
      <w:r>
        <w:rPr>
          <w:rFonts w:eastAsia="仿宋_GB2312"/>
          <w:color w:val="000000"/>
          <w:sz w:val="32"/>
          <w:szCs w:val="32"/>
        </w:rPr>
        <w:t>30</w:t>
      </w:r>
      <w:r>
        <w:rPr>
          <w:rFonts w:hint="eastAsia" w:eastAsia="仿宋_GB2312"/>
          <w:color w:val="000000"/>
          <w:sz w:val="32"/>
          <w:szCs w:val="32"/>
        </w:rPr>
        <w:t>万千瓦以下的运行满</w:t>
      </w:r>
      <w:r>
        <w:rPr>
          <w:rFonts w:eastAsia="仿宋_GB2312"/>
          <w:color w:val="000000"/>
          <w:sz w:val="32"/>
          <w:szCs w:val="32"/>
        </w:rPr>
        <w:t>25</w:t>
      </w:r>
      <w:r>
        <w:rPr>
          <w:rFonts w:hint="eastAsia" w:eastAsia="仿宋_GB2312"/>
          <w:color w:val="000000"/>
          <w:sz w:val="32"/>
          <w:szCs w:val="32"/>
        </w:rPr>
        <w:t>年的抽凝热电机组和</w:t>
      </w:r>
      <w:r>
        <w:rPr>
          <w:rFonts w:eastAsia="仿宋_GB2312"/>
          <w:color w:val="000000"/>
          <w:sz w:val="32"/>
          <w:szCs w:val="32"/>
        </w:rPr>
        <w:t>2018</w:t>
      </w:r>
      <w:r>
        <w:rPr>
          <w:rFonts w:hint="eastAsia" w:eastAsia="仿宋_GB2312"/>
          <w:color w:val="000000"/>
          <w:sz w:val="32"/>
          <w:szCs w:val="32"/>
        </w:rPr>
        <w:t>年年底前达不到超低排放的燃煤机组，按照省有关要求用发电权交易方式进行补偿。</w:t>
      </w:r>
      <w:r>
        <w:rPr>
          <w:rFonts w:hint="eastAsia" w:eastAsia="楷体_GB2312"/>
          <w:color w:val="000000"/>
          <w:sz w:val="32"/>
          <w:szCs w:val="32"/>
        </w:rPr>
        <w:t>（经济发展局牵头）</w:t>
      </w:r>
    </w:p>
    <w:p>
      <w:pPr>
        <w:spacing w:line="560" w:lineRule="exact"/>
        <w:ind w:firstLine="640" w:firstLineChars="200"/>
        <w:rPr>
          <w:color w:val="000000"/>
          <w:sz w:val="32"/>
          <w:szCs w:val="32"/>
        </w:rPr>
      </w:pPr>
      <w:r>
        <w:rPr>
          <w:rFonts w:hint="eastAsia" w:eastAsia="仿宋_GB2312"/>
          <w:color w:val="000000"/>
          <w:sz w:val="32"/>
          <w:szCs w:val="32"/>
        </w:rPr>
        <w:t>扩大集中供热范围，加强集中供热热源和配套管网建设，支持跨区联片热电联产项目建设，以热水为供热介质的热电联产项目，</w:t>
      </w:r>
      <w:r>
        <w:rPr>
          <w:rFonts w:eastAsia="仿宋_GB2312"/>
          <w:color w:val="000000"/>
          <w:sz w:val="32"/>
          <w:szCs w:val="32"/>
        </w:rPr>
        <w:t>20</w:t>
      </w:r>
      <w:r>
        <w:rPr>
          <w:rFonts w:hint="eastAsia" w:eastAsia="仿宋_GB2312"/>
          <w:color w:val="000000"/>
          <w:sz w:val="32"/>
          <w:szCs w:val="32"/>
        </w:rPr>
        <w:t>公里供热半径内原则上不再另行规划建设抽凝热电联产机组；关停淄博环保能源有限公司，根据高新区实际实施清洁热源建设。</w:t>
      </w:r>
      <w:r>
        <w:rPr>
          <w:rFonts w:hint="eastAsia" w:eastAsia="楷体_GB2312"/>
          <w:color w:val="000000"/>
          <w:sz w:val="32"/>
          <w:szCs w:val="32"/>
        </w:rPr>
        <w:t>（建设局、经济发展局、环保局牵头）</w:t>
      </w:r>
      <w:r>
        <w:rPr>
          <w:rFonts w:hint="eastAsia" w:eastAsia="仿宋_GB2312"/>
          <w:color w:val="000000"/>
          <w:sz w:val="32"/>
          <w:szCs w:val="32"/>
        </w:rPr>
        <w:t>鼓励拥有技术和资金优势的企业参与集中供热的热源和配套管网建设。加大对纯凝机组和热电联产机组技术改造，淘汰管网覆盖内的燃煤锅炉、燃煤小热电。鼓励余热资源较为丰富的企业利用余热余压等技术进行对外供暖。到</w:t>
      </w:r>
      <w:r>
        <w:rPr>
          <w:rFonts w:eastAsia="仿宋_GB2312"/>
          <w:color w:val="000000"/>
          <w:sz w:val="32"/>
          <w:szCs w:val="32"/>
        </w:rPr>
        <w:t>2020</w:t>
      </w:r>
      <w:r>
        <w:rPr>
          <w:rFonts w:hint="eastAsia" w:eastAsia="仿宋_GB2312"/>
          <w:color w:val="000000"/>
          <w:sz w:val="32"/>
          <w:szCs w:val="32"/>
        </w:rPr>
        <w:t>年，全区集中供暖面积达到</w:t>
      </w:r>
      <w:r>
        <w:rPr>
          <w:rFonts w:eastAsia="仿宋_GB2312"/>
          <w:color w:val="000000"/>
          <w:sz w:val="32"/>
          <w:szCs w:val="32"/>
        </w:rPr>
        <w:t>850</w:t>
      </w:r>
      <w:r>
        <w:rPr>
          <w:rFonts w:hint="eastAsia" w:eastAsia="仿宋_GB2312"/>
          <w:color w:val="000000"/>
          <w:sz w:val="32"/>
          <w:szCs w:val="32"/>
        </w:rPr>
        <w:t>万平方米。</w:t>
      </w:r>
      <w:r>
        <w:rPr>
          <w:rFonts w:hint="eastAsia" w:eastAsia="楷体_GB2312"/>
          <w:color w:val="000000"/>
          <w:sz w:val="32"/>
          <w:szCs w:val="32"/>
        </w:rPr>
        <w:t>（建设局、环保局、经济发展局牵头）</w:t>
      </w:r>
    </w:p>
    <w:p>
      <w:pPr>
        <w:spacing w:line="560" w:lineRule="exact"/>
        <w:ind w:firstLine="640" w:firstLineChars="200"/>
        <w:rPr>
          <w:color w:val="000000"/>
          <w:sz w:val="32"/>
          <w:szCs w:val="32"/>
          <w:highlight w:val="yellow"/>
        </w:rPr>
      </w:pPr>
      <w:r>
        <w:rPr>
          <w:rFonts w:hint="eastAsia" w:eastAsia="仿宋_GB2312"/>
          <w:color w:val="000000"/>
          <w:sz w:val="32"/>
          <w:szCs w:val="32"/>
        </w:rPr>
        <w:t>实施清洁采暖，按照集中供暖为主的原则，充分利用区内工业余热供暖，积极支持发展污水源、空气源、地源等各类可再生清洁能源供暖，为城市开发建设和新农村建设等各类项目提供采暖配套。实现集中供暖和各类可再生清洁能源供暖有机结合，禁止区域内新上燃煤锅炉供暖项目。完成清洁取暖的地区划为高污染燃料禁燃区，禁止散煤销售和使用。到</w:t>
      </w:r>
      <w:r>
        <w:rPr>
          <w:rFonts w:eastAsia="仿宋_GB2312"/>
          <w:color w:val="000000"/>
          <w:sz w:val="32"/>
          <w:szCs w:val="32"/>
        </w:rPr>
        <w:t>2020</w:t>
      </w:r>
      <w:r>
        <w:rPr>
          <w:rFonts w:hint="eastAsia" w:eastAsia="仿宋_GB2312"/>
          <w:color w:val="000000"/>
          <w:sz w:val="32"/>
          <w:szCs w:val="32"/>
        </w:rPr>
        <w:t>年采暖季前，在保障能源供应的前提下，高新区基本完成生活和冬季取暖散煤替代。电网企业要加强与</w:t>
      </w:r>
      <w:r>
        <w:rPr>
          <w:rFonts w:hint="eastAsia" w:eastAsia="仿宋_GB2312"/>
          <w:color w:val="000000"/>
          <w:sz w:val="32"/>
          <w:szCs w:val="32"/>
          <w:lang w:eastAsia="zh-CN"/>
        </w:rPr>
        <w:t>相关部门</w:t>
      </w:r>
      <w:r>
        <w:rPr>
          <w:rFonts w:hint="eastAsia" w:eastAsia="仿宋_GB2312"/>
          <w:color w:val="000000"/>
          <w:sz w:val="32"/>
          <w:szCs w:val="32"/>
        </w:rPr>
        <w:t>衔接，统筹推进</w:t>
      </w:r>
      <w:r>
        <w:rPr>
          <w:rFonts w:eastAsia="仿宋_GB2312"/>
          <w:color w:val="000000"/>
          <w:sz w:val="32"/>
          <w:szCs w:val="32"/>
        </w:rPr>
        <w:t>“</w:t>
      </w:r>
      <w:r>
        <w:rPr>
          <w:rFonts w:hint="eastAsia" w:eastAsia="仿宋_GB2312"/>
          <w:color w:val="000000"/>
          <w:sz w:val="32"/>
          <w:szCs w:val="32"/>
        </w:rPr>
        <w:t>煤改电</w:t>
      </w:r>
      <w:r>
        <w:rPr>
          <w:rFonts w:eastAsia="仿宋_GB2312"/>
          <w:color w:val="000000"/>
          <w:sz w:val="32"/>
          <w:szCs w:val="32"/>
        </w:rPr>
        <w:t>”</w:t>
      </w:r>
      <w:r>
        <w:rPr>
          <w:rFonts w:hint="eastAsia" w:eastAsia="仿宋_GB2312"/>
          <w:color w:val="000000"/>
          <w:sz w:val="32"/>
          <w:szCs w:val="32"/>
        </w:rPr>
        <w:t>输变电工程建设，满足居民采暖供电需求，加大对</w:t>
      </w:r>
      <w:r>
        <w:rPr>
          <w:rFonts w:eastAsia="仿宋_GB2312"/>
          <w:color w:val="000000"/>
          <w:sz w:val="32"/>
          <w:szCs w:val="32"/>
        </w:rPr>
        <w:t>“</w:t>
      </w:r>
      <w:r>
        <w:rPr>
          <w:rFonts w:hint="eastAsia" w:eastAsia="仿宋_GB2312"/>
          <w:color w:val="000000"/>
          <w:sz w:val="32"/>
          <w:szCs w:val="32"/>
        </w:rPr>
        <w:t>煤改电</w:t>
      </w:r>
      <w:r>
        <w:rPr>
          <w:rFonts w:eastAsia="仿宋_GB2312"/>
          <w:color w:val="000000"/>
          <w:sz w:val="32"/>
          <w:szCs w:val="32"/>
        </w:rPr>
        <w:t>”</w:t>
      </w:r>
      <w:r>
        <w:rPr>
          <w:rFonts w:hint="eastAsia" w:eastAsia="仿宋_GB2312"/>
          <w:color w:val="000000"/>
          <w:sz w:val="32"/>
          <w:szCs w:val="32"/>
        </w:rPr>
        <w:t>配套电网工程支持力度，统筹协调</w:t>
      </w:r>
      <w:r>
        <w:rPr>
          <w:rFonts w:eastAsia="仿宋_GB2312"/>
          <w:color w:val="000000"/>
          <w:sz w:val="32"/>
          <w:szCs w:val="32"/>
        </w:rPr>
        <w:t>“</w:t>
      </w:r>
      <w:r>
        <w:rPr>
          <w:rFonts w:hint="eastAsia" w:eastAsia="仿宋_GB2312"/>
          <w:color w:val="000000"/>
          <w:sz w:val="32"/>
          <w:szCs w:val="32"/>
        </w:rPr>
        <w:t>煤改电</w:t>
      </w:r>
      <w:r>
        <w:rPr>
          <w:rFonts w:eastAsia="仿宋_GB2312"/>
          <w:color w:val="000000"/>
          <w:sz w:val="32"/>
          <w:szCs w:val="32"/>
        </w:rPr>
        <w:t>”“</w:t>
      </w:r>
      <w:r>
        <w:rPr>
          <w:rFonts w:hint="eastAsia" w:eastAsia="仿宋_GB2312"/>
          <w:color w:val="000000"/>
          <w:sz w:val="32"/>
          <w:szCs w:val="32"/>
        </w:rPr>
        <w:t>煤改气</w:t>
      </w:r>
      <w:r>
        <w:rPr>
          <w:rFonts w:eastAsia="仿宋_GB2312"/>
          <w:color w:val="000000"/>
          <w:sz w:val="32"/>
          <w:szCs w:val="32"/>
        </w:rPr>
        <w:t>”</w:t>
      </w:r>
      <w:r>
        <w:rPr>
          <w:rFonts w:hint="eastAsia" w:eastAsia="仿宋_GB2312"/>
          <w:color w:val="000000"/>
          <w:sz w:val="32"/>
          <w:szCs w:val="32"/>
        </w:rPr>
        <w:t>用地指标。到</w:t>
      </w:r>
      <w:r>
        <w:rPr>
          <w:rFonts w:eastAsia="仿宋_GB2312"/>
          <w:color w:val="000000"/>
          <w:sz w:val="32"/>
          <w:szCs w:val="32"/>
        </w:rPr>
        <w:t>2020</w:t>
      </w:r>
      <w:r>
        <w:rPr>
          <w:rFonts w:hint="eastAsia" w:eastAsia="仿宋_GB2312"/>
          <w:color w:val="000000"/>
          <w:sz w:val="32"/>
          <w:szCs w:val="32"/>
        </w:rPr>
        <w:t>年，高新区</w:t>
      </w:r>
      <w:r>
        <w:rPr>
          <w:rFonts w:eastAsia="仿宋_GB2312"/>
          <w:color w:val="000000"/>
          <w:sz w:val="32"/>
          <w:szCs w:val="32"/>
        </w:rPr>
        <w:t>60%</w:t>
      </w:r>
      <w:r>
        <w:rPr>
          <w:rFonts w:hint="eastAsia" w:eastAsia="仿宋_GB2312"/>
          <w:color w:val="000000"/>
          <w:sz w:val="32"/>
          <w:szCs w:val="32"/>
        </w:rPr>
        <w:t>以上的村庄实现冬季清洁供暖。</w:t>
      </w:r>
      <w:r>
        <w:rPr>
          <w:rFonts w:hint="eastAsia" w:eastAsia="楷体_GB2312"/>
          <w:color w:val="000000"/>
          <w:sz w:val="32"/>
          <w:szCs w:val="32"/>
        </w:rPr>
        <w:t>（建设局、经济发展局牵头）</w:t>
      </w:r>
    </w:p>
    <w:p>
      <w:pPr>
        <w:spacing w:line="560" w:lineRule="exact"/>
        <w:ind w:firstLine="640" w:firstLineChars="200"/>
        <w:rPr>
          <w:color w:val="000000"/>
          <w:sz w:val="32"/>
          <w:szCs w:val="32"/>
        </w:rPr>
      </w:pPr>
      <w:r>
        <w:rPr>
          <w:rFonts w:hint="eastAsia" w:eastAsia="仿宋_GB2312"/>
          <w:color w:val="000000"/>
          <w:sz w:val="32"/>
          <w:szCs w:val="32"/>
        </w:rPr>
        <w:t>禁止使用劣质散煤，大力推广清洁煤炭。加强煤炭质量全过程监管，严格禁止劣质散煤进入消费市场，严厉打击劣质煤销售。</w:t>
      </w:r>
      <w:r>
        <w:rPr>
          <w:rFonts w:hint="eastAsia" w:eastAsia="楷体_GB2312"/>
          <w:color w:val="000000"/>
          <w:sz w:val="32"/>
          <w:szCs w:val="32"/>
        </w:rPr>
        <w:t>（经济发展局、</w:t>
      </w:r>
      <w:r>
        <w:rPr>
          <w:rFonts w:hint="eastAsia" w:eastAsia="楷体_GB2312"/>
          <w:color w:val="000000"/>
          <w:sz w:val="32"/>
          <w:szCs w:val="32"/>
          <w:lang w:eastAsia="zh-CN"/>
        </w:rPr>
        <w:t>市场监督管理局</w:t>
      </w:r>
      <w:r>
        <w:rPr>
          <w:rFonts w:hint="eastAsia" w:eastAsia="楷体_GB2312"/>
          <w:color w:val="000000"/>
          <w:sz w:val="32"/>
          <w:szCs w:val="32"/>
        </w:rPr>
        <w:t>牵头）</w:t>
      </w:r>
    </w:p>
    <w:p>
      <w:pPr>
        <w:spacing w:line="560" w:lineRule="exact"/>
        <w:ind w:firstLine="640" w:firstLineChars="200"/>
        <w:rPr>
          <w:color w:val="000000"/>
          <w:sz w:val="32"/>
          <w:szCs w:val="32"/>
        </w:rPr>
      </w:pPr>
      <w:r>
        <w:rPr>
          <w:rFonts w:eastAsia="仿宋_GB2312"/>
          <w:color w:val="000000"/>
          <w:sz w:val="32"/>
          <w:szCs w:val="32"/>
        </w:rPr>
        <w:t xml:space="preserve">2. </w:t>
      </w:r>
      <w:r>
        <w:rPr>
          <w:rFonts w:hint="eastAsia" w:eastAsia="仿宋_GB2312"/>
          <w:color w:val="000000"/>
          <w:sz w:val="32"/>
          <w:szCs w:val="32"/>
        </w:rPr>
        <w:t>着力控制新增煤炭消费。严格控制新上耗煤项目审批、核准、备案，鼓励天然气、电力等清洁能源替代煤炭消费。除市政府批准建设的涉煤项目，在固定资产投资项目节能审查时设定红线，对万元工业增加值能耗高于</w:t>
      </w:r>
      <w:r>
        <w:rPr>
          <w:rFonts w:eastAsia="仿宋_GB2312"/>
          <w:color w:val="000000"/>
          <w:sz w:val="32"/>
          <w:szCs w:val="32"/>
        </w:rPr>
        <w:t>0.6</w:t>
      </w:r>
      <w:r>
        <w:rPr>
          <w:rFonts w:hint="eastAsia" w:eastAsia="仿宋_GB2312"/>
          <w:color w:val="000000"/>
          <w:sz w:val="32"/>
          <w:szCs w:val="32"/>
        </w:rPr>
        <w:t>吨标准煤或涉煤的新、改、扩建项目原则上不予审核通过；新建项目禁止配套建设直燃煤设施；已批未建涉煤项目原则上停止建设或使用清洁能源替代。对于经批准确需建设的耗煤项目，按照《山东省耗煤项目煤炭消费减量替代管理办法》，严格落实替代源及替代比例，所有新、改、扩建项目一律实施煤炭减量或等量替代。不再新增燃煤机组装机容量，新增用电量主要依靠非化石能源发电和外输电满足。严格按照《山东省固定资产投资项目节能审查实施办法》规定，结合能耗总量和能耗强度</w:t>
      </w:r>
      <w:r>
        <w:rPr>
          <w:rFonts w:eastAsia="仿宋_GB2312"/>
          <w:color w:val="000000"/>
          <w:sz w:val="32"/>
          <w:szCs w:val="32"/>
        </w:rPr>
        <w:t>“</w:t>
      </w:r>
      <w:r>
        <w:rPr>
          <w:rFonts w:hint="eastAsia" w:eastAsia="仿宋_GB2312"/>
          <w:color w:val="000000"/>
          <w:sz w:val="32"/>
          <w:szCs w:val="32"/>
        </w:rPr>
        <w:t>双控</w:t>
      </w:r>
      <w:r>
        <w:rPr>
          <w:rFonts w:eastAsia="仿宋_GB2312"/>
          <w:color w:val="000000"/>
          <w:sz w:val="32"/>
          <w:szCs w:val="32"/>
        </w:rPr>
        <w:t>”</w:t>
      </w:r>
      <w:r>
        <w:rPr>
          <w:rFonts w:hint="eastAsia" w:eastAsia="仿宋_GB2312"/>
          <w:color w:val="000000"/>
          <w:sz w:val="32"/>
          <w:szCs w:val="32"/>
        </w:rPr>
        <w:t>要求，审查项目节能报告。</w:t>
      </w:r>
      <w:r>
        <w:rPr>
          <w:rFonts w:hint="eastAsia" w:eastAsia="楷体_GB2312"/>
          <w:color w:val="000000"/>
          <w:sz w:val="32"/>
          <w:szCs w:val="32"/>
        </w:rPr>
        <w:t>（经济发展局牵头）</w:t>
      </w:r>
      <w:r>
        <w:rPr>
          <w:rFonts w:hint="eastAsia" w:eastAsia="仿宋_GB2312"/>
          <w:color w:val="000000"/>
          <w:sz w:val="32"/>
          <w:szCs w:val="32"/>
        </w:rPr>
        <w:t>严把新上耗煤项目的环评审批关，项目环境影响评价文件中须包含经相关主管部门核定同意的煤炭减量替代方案，其中新上燃煤发电项目由项目所在地市级及以上煤炭消费减量替代工作主管部门出具核定意见。</w:t>
      </w:r>
      <w:r>
        <w:rPr>
          <w:rFonts w:hint="eastAsia" w:eastAsia="楷体_GB2312"/>
          <w:color w:val="000000"/>
          <w:sz w:val="32"/>
          <w:szCs w:val="32"/>
        </w:rPr>
        <w:t>（环保局牵头）</w:t>
      </w:r>
    </w:p>
    <w:p>
      <w:pPr>
        <w:spacing w:line="560" w:lineRule="exact"/>
        <w:ind w:firstLine="640" w:firstLineChars="200"/>
        <w:rPr>
          <w:color w:val="000000"/>
          <w:sz w:val="32"/>
          <w:szCs w:val="32"/>
        </w:rPr>
      </w:pPr>
      <w:r>
        <w:rPr>
          <w:rFonts w:eastAsia="仿宋_GB2312"/>
          <w:color w:val="000000"/>
          <w:sz w:val="32"/>
          <w:szCs w:val="32"/>
        </w:rPr>
        <w:t xml:space="preserve">3. </w:t>
      </w:r>
      <w:r>
        <w:rPr>
          <w:rFonts w:hint="eastAsia" w:eastAsia="仿宋_GB2312"/>
          <w:color w:val="000000"/>
          <w:sz w:val="32"/>
          <w:szCs w:val="32"/>
        </w:rPr>
        <w:t>着力提高煤炭使用效率。加强重点工业行业提标改造，在重点耗能行业全面推行能效对标。到</w:t>
      </w:r>
      <w:r>
        <w:rPr>
          <w:rFonts w:eastAsia="仿宋_GB2312"/>
          <w:color w:val="000000"/>
          <w:sz w:val="32"/>
          <w:szCs w:val="32"/>
        </w:rPr>
        <w:t>2020</w:t>
      </w:r>
      <w:r>
        <w:rPr>
          <w:rFonts w:hint="eastAsia" w:eastAsia="仿宋_GB2312"/>
          <w:color w:val="000000"/>
          <w:sz w:val="32"/>
          <w:szCs w:val="32"/>
        </w:rPr>
        <w:t>年，工业能源利用效率显著提高，规模以上工业企业单位增加值能耗比</w:t>
      </w:r>
      <w:r>
        <w:rPr>
          <w:rFonts w:eastAsia="仿宋_GB2312"/>
          <w:color w:val="000000"/>
          <w:sz w:val="32"/>
          <w:szCs w:val="32"/>
        </w:rPr>
        <w:t>2015</w:t>
      </w:r>
      <w:r>
        <w:rPr>
          <w:rFonts w:hint="eastAsia" w:eastAsia="仿宋_GB2312"/>
          <w:color w:val="000000"/>
          <w:sz w:val="32"/>
          <w:szCs w:val="32"/>
        </w:rPr>
        <w:t>年降低</w:t>
      </w:r>
      <w:r>
        <w:rPr>
          <w:rFonts w:eastAsia="仿宋_GB2312"/>
          <w:color w:val="000000"/>
          <w:sz w:val="32"/>
          <w:szCs w:val="32"/>
        </w:rPr>
        <w:t>20%</w:t>
      </w:r>
      <w:r>
        <w:rPr>
          <w:rFonts w:hint="eastAsia" w:eastAsia="仿宋_GB2312"/>
          <w:color w:val="000000"/>
          <w:sz w:val="32"/>
          <w:szCs w:val="32"/>
        </w:rPr>
        <w:t>，电力、钢铁、有色、建材、石油石化、化工、煤炭、轻工、纺织、机械等重点耗能行业能源利用效率达到或接近国内先进水平，新建高耗能项目单位产品（产值）能耗要达到国际先进水平。其中，火电行业新建燃煤发电项目平均供电煤耗低于</w:t>
      </w:r>
      <w:r>
        <w:rPr>
          <w:rFonts w:eastAsia="仿宋_GB2312"/>
          <w:color w:val="000000"/>
          <w:sz w:val="32"/>
          <w:szCs w:val="32"/>
        </w:rPr>
        <w:t>300</w:t>
      </w:r>
      <w:r>
        <w:rPr>
          <w:rFonts w:hint="eastAsia" w:eastAsia="仿宋_GB2312"/>
          <w:color w:val="000000"/>
          <w:sz w:val="32"/>
          <w:szCs w:val="32"/>
        </w:rPr>
        <w:t>克</w:t>
      </w:r>
      <w:r>
        <w:rPr>
          <w:rFonts w:eastAsia="仿宋_GB2312"/>
          <w:color w:val="000000"/>
          <w:sz w:val="32"/>
          <w:szCs w:val="32"/>
        </w:rPr>
        <w:t>/</w:t>
      </w:r>
      <w:r>
        <w:rPr>
          <w:rFonts w:hint="eastAsia" w:eastAsia="仿宋_GB2312"/>
          <w:color w:val="000000"/>
          <w:sz w:val="32"/>
          <w:szCs w:val="32"/>
        </w:rPr>
        <w:t>千瓦时，现役燃煤发电机组改造后平均供电煤耗低于</w:t>
      </w:r>
      <w:r>
        <w:rPr>
          <w:rFonts w:eastAsia="仿宋_GB2312"/>
          <w:color w:val="000000"/>
          <w:sz w:val="32"/>
          <w:szCs w:val="32"/>
        </w:rPr>
        <w:t>310</w:t>
      </w:r>
      <w:r>
        <w:rPr>
          <w:rFonts w:hint="eastAsia" w:eastAsia="仿宋_GB2312"/>
          <w:color w:val="000000"/>
          <w:sz w:val="32"/>
          <w:szCs w:val="32"/>
        </w:rPr>
        <w:t>克</w:t>
      </w:r>
      <w:r>
        <w:rPr>
          <w:rFonts w:eastAsia="仿宋_GB2312"/>
          <w:color w:val="000000"/>
          <w:sz w:val="32"/>
          <w:szCs w:val="32"/>
        </w:rPr>
        <w:t>/</w:t>
      </w:r>
      <w:r>
        <w:rPr>
          <w:rFonts w:hint="eastAsia" w:eastAsia="仿宋_GB2312"/>
          <w:color w:val="000000"/>
          <w:sz w:val="32"/>
          <w:szCs w:val="32"/>
        </w:rPr>
        <w:t>千瓦时；钢铁行业，吨钢综合能耗降至</w:t>
      </w:r>
      <w:r>
        <w:rPr>
          <w:rFonts w:eastAsia="仿宋_GB2312"/>
          <w:color w:val="000000"/>
          <w:sz w:val="32"/>
          <w:szCs w:val="32"/>
        </w:rPr>
        <w:t>535</w:t>
      </w:r>
      <w:r>
        <w:rPr>
          <w:rFonts w:hint="eastAsia" w:eastAsia="仿宋_GB2312"/>
          <w:color w:val="000000"/>
          <w:sz w:val="32"/>
          <w:szCs w:val="32"/>
        </w:rPr>
        <w:t>千克标煤。（</w:t>
      </w:r>
      <w:r>
        <w:rPr>
          <w:rFonts w:hint="eastAsia" w:eastAsia="楷体_GB2312"/>
          <w:color w:val="000000"/>
          <w:sz w:val="32"/>
          <w:szCs w:val="32"/>
        </w:rPr>
        <w:t>经济发展局牵头）</w:t>
      </w:r>
      <w:r>
        <w:rPr>
          <w:rFonts w:hint="eastAsia" w:eastAsia="仿宋_GB2312"/>
          <w:color w:val="000000"/>
          <w:sz w:val="32"/>
          <w:szCs w:val="32"/>
        </w:rPr>
        <w:t>火电行业大型发电集团单位供电二氧化碳排放控制在</w:t>
      </w:r>
      <w:r>
        <w:rPr>
          <w:rFonts w:eastAsia="仿宋_GB2312"/>
          <w:color w:val="000000"/>
          <w:sz w:val="32"/>
          <w:szCs w:val="32"/>
        </w:rPr>
        <w:t>825</w:t>
      </w:r>
      <w:r>
        <w:rPr>
          <w:rFonts w:hint="eastAsia" w:eastAsia="仿宋_GB2312"/>
          <w:color w:val="000000"/>
          <w:sz w:val="32"/>
          <w:szCs w:val="32"/>
        </w:rPr>
        <w:t>克</w:t>
      </w:r>
      <w:r>
        <w:rPr>
          <w:rFonts w:eastAsia="仿宋_GB2312"/>
          <w:color w:val="000000"/>
          <w:sz w:val="32"/>
          <w:szCs w:val="32"/>
        </w:rPr>
        <w:t>/</w:t>
      </w:r>
      <w:r>
        <w:rPr>
          <w:rFonts w:hint="eastAsia" w:eastAsia="仿宋_GB2312"/>
          <w:color w:val="000000"/>
          <w:sz w:val="32"/>
          <w:szCs w:val="32"/>
        </w:rPr>
        <w:t>千瓦时以内；钢铁行业吨粗钢碳排放降至</w:t>
      </w:r>
      <w:r>
        <w:rPr>
          <w:rFonts w:eastAsia="仿宋_GB2312"/>
          <w:color w:val="000000"/>
          <w:sz w:val="32"/>
          <w:szCs w:val="32"/>
        </w:rPr>
        <w:t>1.52</w:t>
      </w:r>
      <w:r>
        <w:rPr>
          <w:rFonts w:hint="eastAsia" w:eastAsia="仿宋_GB2312"/>
          <w:color w:val="000000"/>
          <w:sz w:val="32"/>
          <w:szCs w:val="32"/>
        </w:rPr>
        <w:t>吨二氧化碳以下。</w:t>
      </w:r>
      <w:r>
        <w:rPr>
          <w:rFonts w:hint="eastAsia" w:eastAsia="楷体_GB2312"/>
          <w:color w:val="000000"/>
          <w:sz w:val="32"/>
          <w:szCs w:val="32"/>
        </w:rPr>
        <w:t>（经济发展局牵头）</w:t>
      </w:r>
    </w:p>
    <w:p>
      <w:pPr>
        <w:spacing w:line="560" w:lineRule="exact"/>
        <w:ind w:firstLine="640" w:firstLineChars="200"/>
        <w:rPr>
          <w:color w:val="000000"/>
          <w:sz w:val="32"/>
          <w:szCs w:val="32"/>
        </w:rPr>
      </w:pPr>
      <w:r>
        <w:rPr>
          <w:rFonts w:hint="eastAsia" w:eastAsia="仿宋_GB2312"/>
          <w:color w:val="000000"/>
          <w:sz w:val="32"/>
          <w:szCs w:val="32"/>
        </w:rPr>
        <w:t>推动绿色建筑提质增效，城市规划区新建建筑严格执行绿色建筑设计标准。全面执行居住建筑节能</w:t>
      </w:r>
      <w:r>
        <w:rPr>
          <w:rFonts w:eastAsia="仿宋_GB2312"/>
          <w:color w:val="000000"/>
          <w:sz w:val="32"/>
          <w:szCs w:val="32"/>
        </w:rPr>
        <w:t>75%</w:t>
      </w:r>
      <w:r>
        <w:rPr>
          <w:rFonts w:hint="eastAsia" w:eastAsia="仿宋_GB2312"/>
          <w:color w:val="000000"/>
          <w:sz w:val="32"/>
          <w:szCs w:val="32"/>
        </w:rPr>
        <w:t>、公共建筑节能</w:t>
      </w:r>
      <w:r>
        <w:rPr>
          <w:rFonts w:eastAsia="仿宋_GB2312"/>
          <w:color w:val="000000"/>
          <w:sz w:val="32"/>
          <w:szCs w:val="32"/>
        </w:rPr>
        <w:t>65%</w:t>
      </w:r>
      <w:r>
        <w:rPr>
          <w:rFonts w:hint="eastAsia" w:eastAsia="仿宋_GB2312"/>
          <w:color w:val="000000"/>
          <w:sz w:val="32"/>
          <w:szCs w:val="32"/>
        </w:rPr>
        <w:t>设计标准，积极开展被动式超低能耗及近零能耗建筑建设试点。大力发展装配式建筑，培育装配式建筑产业集群。到</w:t>
      </w:r>
      <w:r>
        <w:rPr>
          <w:rFonts w:eastAsia="仿宋_GB2312"/>
          <w:color w:val="000000"/>
          <w:sz w:val="32"/>
          <w:szCs w:val="32"/>
        </w:rPr>
        <w:t>2020</w:t>
      </w:r>
      <w:r>
        <w:rPr>
          <w:rFonts w:hint="eastAsia" w:eastAsia="仿宋_GB2312"/>
          <w:color w:val="000000"/>
          <w:sz w:val="32"/>
          <w:szCs w:val="32"/>
        </w:rPr>
        <w:t>年，建成节能建筑</w:t>
      </w:r>
      <w:r>
        <w:rPr>
          <w:rFonts w:eastAsia="仿宋_GB2312"/>
          <w:color w:val="000000"/>
          <w:sz w:val="32"/>
          <w:szCs w:val="32"/>
        </w:rPr>
        <w:t>200</w:t>
      </w:r>
      <w:r>
        <w:rPr>
          <w:rFonts w:hint="eastAsia" w:eastAsia="仿宋_GB2312"/>
          <w:color w:val="000000"/>
          <w:sz w:val="32"/>
          <w:szCs w:val="32"/>
        </w:rPr>
        <w:t>万平方米以上，完成既有居住建筑节能改造</w:t>
      </w:r>
      <w:r>
        <w:rPr>
          <w:rFonts w:eastAsia="仿宋_GB2312"/>
          <w:color w:val="000000"/>
          <w:sz w:val="32"/>
          <w:szCs w:val="32"/>
        </w:rPr>
        <w:t>7.8</w:t>
      </w:r>
      <w:r>
        <w:rPr>
          <w:rFonts w:hint="eastAsia" w:eastAsia="仿宋_GB2312"/>
          <w:color w:val="000000"/>
          <w:sz w:val="32"/>
          <w:szCs w:val="32"/>
        </w:rPr>
        <w:t>万平方米以上、公共建筑节能改造</w:t>
      </w:r>
      <w:r>
        <w:rPr>
          <w:rFonts w:eastAsia="仿宋_GB2312"/>
          <w:color w:val="000000"/>
          <w:sz w:val="32"/>
          <w:szCs w:val="32"/>
        </w:rPr>
        <w:t>1</w:t>
      </w:r>
      <w:r>
        <w:rPr>
          <w:rFonts w:hint="eastAsia" w:eastAsia="仿宋_GB2312"/>
          <w:color w:val="000000"/>
          <w:sz w:val="32"/>
          <w:szCs w:val="32"/>
        </w:rPr>
        <w:t>万平方米以上，新增太阳能光热建筑一体化应用面积</w:t>
      </w:r>
      <w:r>
        <w:rPr>
          <w:rFonts w:eastAsia="仿宋_GB2312"/>
          <w:color w:val="000000"/>
          <w:sz w:val="32"/>
          <w:szCs w:val="32"/>
        </w:rPr>
        <w:t>30</w:t>
      </w:r>
      <w:r>
        <w:rPr>
          <w:rFonts w:hint="eastAsia" w:eastAsia="仿宋_GB2312"/>
          <w:color w:val="000000"/>
          <w:sz w:val="32"/>
          <w:szCs w:val="32"/>
        </w:rPr>
        <w:t>万平方米、高星级绿色建筑</w:t>
      </w:r>
      <w:r>
        <w:rPr>
          <w:rFonts w:eastAsia="仿宋_GB2312"/>
          <w:color w:val="000000"/>
          <w:sz w:val="32"/>
          <w:szCs w:val="32"/>
        </w:rPr>
        <w:t>20</w:t>
      </w:r>
      <w:r>
        <w:rPr>
          <w:rFonts w:hint="eastAsia" w:eastAsia="仿宋_GB2312"/>
          <w:color w:val="000000"/>
          <w:sz w:val="32"/>
          <w:szCs w:val="32"/>
        </w:rPr>
        <w:t>万平方米。积极争创省级绿色生态示范城区、示范城镇，绿色建筑在新建建筑中基本实现全覆盖。</w:t>
      </w:r>
      <w:r>
        <w:rPr>
          <w:rFonts w:hint="eastAsia" w:eastAsia="楷体_GB2312"/>
          <w:color w:val="000000"/>
          <w:sz w:val="32"/>
          <w:szCs w:val="32"/>
        </w:rPr>
        <w:t>（建设局牵头）</w:t>
      </w:r>
    </w:p>
    <w:p>
      <w:pPr>
        <w:spacing w:line="560" w:lineRule="exact"/>
        <w:ind w:firstLine="640" w:firstLineChars="200"/>
        <w:rPr>
          <w:color w:val="000000"/>
          <w:sz w:val="32"/>
          <w:szCs w:val="32"/>
        </w:rPr>
      </w:pPr>
      <w:r>
        <w:rPr>
          <w:rFonts w:eastAsia="仿宋_GB2312"/>
          <w:color w:val="000000"/>
          <w:sz w:val="32"/>
          <w:szCs w:val="32"/>
        </w:rPr>
        <w:t xml:space="preserve">4. </w:t>
      </w:r>
      <w:r>
        <w:rPr>
          <w:rFonts w:hint="eastAsia" w:eastAsia="仿宋_GB2312"/>
          <w:color w:val="000000"/>
          <w:sz w:val="32"/>
          <w:szCs w:val="32"/>
        </w:rPr>
        <w:t>着力落实煤炭消费总量控制制度。严格落实《淄博市煤炭总量控制工作方案（</w:t>
      </w:r>
      <w:r>
        <w:rPr>
          <w:rFonts w:eastAsia="仿宋_GB2312"/>
          <w:color w:val="000000"/>
          <w:sz w:val="32"/>
          <w:szCs w:val="32"/>
        </w:rPr>
        <w:t>2017</w:t>
      </w:r>
      <w:r>
        <w:rPr>
          <w:rFonts w:hint="eastAsia" w:eastAsia="仿宋_GB2312"/>
          <w:color w:val="000000"/>
          <w:sz w:val="32"/>
          <w:szCs w:val="32"/>
        </w:rPr>
        <w:t>－</w:t>
      </w:r>
      <w:r>
        <w:rPr>
          <w:rFonts w:eastAsia="仿宋_GB2312"/>
          <w:color w:val="000000"/>
          <w:sz w:val="32"/>
          <w:szCs w:val="32"/>
        </w:rPr>
        <w:t>2020</w:t>
      </w:r>
      <w:r>
        <w:rPr>
          <w:rFonts w:hint="eastAsia" w:eastAsia="仿宋_GB2312"/>
          <w:color w:val="000000"/>
          <w:sz w:val="32"/>
          <w:szCs w:val="32"/>
        </w:rPr>
        <w:t>年）》（淄政办字〔</w:t>
      </w:r>
      <w:r>
        <w:rPr>
          <w:rFonts w:eastAsia="仿宋_GB2312"/>
          <w:color w:val="000000"/>
          <w:sz w:val="32"/>
          <w:szCs w:val="32"/>
        </w:rPr>
        <w:t>2017</w:t>
      </w:r>
      <w:r>
        <w:rPr>
          <w:rFonts w:hint="eastAsia" w:eastAsia="仿宋_GB2312"/>
          <w:color w:val="000000"/>
          <w:sz w:val="32"/>
          <w:szCs w:val="32"/>
        </w:rPr>
        <w:t>〕</w:t>
      </w:r>
      <w:r>
        <w:rPr>
          <w:rFonts w:eastAsia="仿宋_GB2312"/>
          <w:color w:val="000000"/>
          <w:sz w:val="32"/>
          <w:szCs w:val="32"/>
        </w:rPr>
        <w:t>143</w:t>
      </w:r>
      <w:r>
        <w:rPr>
          <w:rFonts w:hint="eastAsia" w:eastAsia="仿宋_GB2312"/>
          <w:color w:val="000000"/>
          <w:sz w:val="32"/>
          <w:szCs w:val="32"/>
        </w:rPr>
        <w:t>号），按照实施方案要求，明确牵头部门和责任分工，完善工作机制，协同推进全市煤炭消费减量替代工作，确保</w:t>
      </w:r>
      <w:r>
        <w:rPr>
          <w:rFonts w:hint="eastAsia" w:eastAsia="仿宋_GB2312"/>
          <w:color w:val="000000"/>
          <w:sz w:val="32"/>
          <w:szCs w:val="32"/>
          <w:lang w:eastAsia="zh-CN"/>
        </w:rPr>
        <w:t>完成</w:t>
      </w:r>
      <w:bookmarkStart w:id="0" w:name="_GoBack"/>
      <w:bookmarkEnd w:id="0"/>
      <w:r>
        <w:rPr>
          <w:rFonts w:hint="eastAsia" w:eastAsia="仿宋_GB2312"/>
          <w:color w:val="000000"/>
          <w:sz w:val="32"/>
          <w:szCs w:val="32"/>
        </w:rPr>
        <w:t>市政府下达目标任务。</w:t>
      </w:r>
      <w:r>
        <w:rPr>
          <w:rFonts w:hint="eastAsia" w:eastAsia="楷体_GB2312"/>
          <w:color w:val="000000"/>
          <w:sz w:val="32"/>
          <w:szCs w:val="32"/>
        </w:rPr>
        <w:t>（经济发展局牵头）</w:t>
      </w:r>
    </w:p>
    <w:p>
      <w:pPr>
        <w:spacing w:line="560" w:lineRule="exact"/>
        <w:ind w:firstLine="640" w:firstLineChars="200"/>
        <w:rPr>
          <w:rFonts w:eastAsia="楷体_GB2312"/>
          <w:color w:val="000000"/>
          <w:sz w:val="32"/>
          <w:szCs w:val="32"/>
        </w:rPr>
      </w:pPr>
      <w:r>
        <w:rPr>
          <w:rFonts w:hint="eastAsia" w:eastAsia="楷体_GB2312"/>
          <w:color w:val="000000"/>
          <w:sz w:val="32"/>
          <w:szCs w:val="32"/>
        </w:rPr>
        <w:t>（二）增加清洁能源使用</w:t>
      </w:r>
    </w:p>
    <w:p>
      <w:pPr>
        <w:spacing w:line="560" w:lineRule="exact"/>
        <w:ind w:firstLine="640" w:firstLineChars="200"/>
        <w:rPr>
          <w:color w:val="000000"/>
          <w:sz w:val="32"/>
          <w:szCs w:val="32"/>
        </w:rPr>
      </w:pPr>
      <w:r>
        <w:rPr>
          <w:rFonts w:eastAsia="仿宋_GB2312"/>
          <w:color w:val="000000"/>
          <w:sz w:val="32"/>
          <w:szCs w:val="32"/>
        </w:rPr>
        <w:t xml:space="preserve">1. </w:t>
      </w:r>
      <w:r>
        <w:rPr>
          <w:rFonts w:hint="eastAsia" w:eastAsia="仿宋_GB2312"/>
          <w:color w:val="000000"/>
          <w:sz w:val="32"/>
          <w:szCs w:val="32"/>
        </w:rPr>
        <w:t>大力提升天然气供给能力。抓好天然气产供储销体系建设，坚持内外并重，构建多元化的天然气供应体系，积极引进液化天然气（</w:t>
      </w:r>
      <w:r>
        <w:rPr>
          <w:rFonts w:eastAsia="仿宋_GB2312"/>
          <w:color w:val="000000"/>
          <w:sz w:val="32"/>
          <w:szCs w:val="32"/>
        </w:rPr>
        <w:t>LNG</w:t>
      </w:r>
      <w:r>
        <w:rPr>
          <w:rFonts w:hint="eastAsia" w:eastAsia="仿宋_GB2312"/>
          <w:color w:val="000000"/>
          <w:sz w:val="32"/>
          <w:szCs w:val="32"/>
        </w:rPr>
        <w:t>），全区</w:t>
      </w:r>
      <w:r>
        <w:rPr>
          <w:rFonts w:eastAsia="仿宋_GB2312"/>
          <w:color w:val="000000"/>
          <w:sz w:val="32"/>
          <w:szCs w:val="32"/>
        </w:rPr>
        <w:t>2018</w:t>
      </w:r>
      <w:r>
        <w:rPr>
          <w:rFonts w:hint="eastAsia" w:eastAsia="仿宋_GB2312"/>
          <w:color w:val="000000"/>
          <w:sz w:val="32"/>
          <w:szCs w:val="32"/>
        </w:rPr>
        <w:t>年、</w:t>
      </w:r>
      <w:r>
        <w:rPr>
          <w:rFonts w:eastAsia="仿宋_GB2312"/>
          <w:color w:val="000000"/>
          <w:sz w:val="32"/>
          <w:szCs w:val="32"/>
        </w:rPr>
        <w:t>2019</w:t>
      </w:r>
      <w:r>
        <w:rPr>
          <w:rFonts w:hint="eastAsia" w:eastAsia="仿宋_GB2312"/>
          <w:color w:val="000000"/>
          <w:sz w:val="32"/>
          <w:szCs w:val="32"/>
        </w:rPr>
        <w:t>年、</w:t>
      </w:r>
      <w:r>
        <w:rPr>
          <w:rFonts w:eastAsia="仿宋_GB2312"/>
          <w:color w:val="000000"/>
          <w:sz w:val="32"/>
          <w:szCs w:val="32"/>
        </w:rPr>
        <w:t>2020</w:t>
      </w:r>
      <w:r>
        <w:rPr>
          <w:rFonts w:hint="eastAsia" w:eastAsia="仿宋_GB2312"/>
          <w:color w:val="000000"/>
          <w:sz w:val="32"/>
          <w:szCs w:val="32"/>
        </w:rPr>
        <w:t>年，天然气供气量分别达到</w:t>
      </w:r>
      <w:r>
        <w:rPr>
          <w:rFonts w:eastAsia="仿宋_GB2312"/>
          <w:color w:val="000000"/>
          <w:sz w:val="32"/>
          <w:szCs w:val="32"/>
        </w:rPr>
        <w:t>1.8</w:t>
      </w:r>
      <w:r>
        <w:rPr>
          <w:rFonts w:hint="eastAsia" w:eastAsia="仿宋_GB2312"/>
          <w:color w:val="000000"/>
          <w:sz w:val="32"/>
          <w:szCs w:val="32"/>
        </w:rPr>
        <w:t>亿、</w:t>
      </w:r>
      <w:r>
        <w:rPr>
          <w:rFonts w:eastAsia="仿宋_GB2312"/>
          <w:color w:val="000000"/>
          <w:sz w:val="32"/>
          <w:szCs w:val="32"/>
        </w:rPr>
        <w:t>2.0</w:t>
      </w:r>
      <w:r>
        <w:rPr>
          <w:rFonts w:hint="eastAsia" w:eastAsia="仿宋_GB2312"/>
          <w:color w:val="000000"/>
          <w:sz w:val="32"/>
          <w:szCs w:val="32"/>
        </w:rPr>
        <w:t>亿、</w:t>
      </w:r>
      <w:r>
        <w:rPr>
          <w:rFonts w:eastAsia="仿宋_GB2312"/>
          <w:color w:val="000000"/>
          <w:sz w:val="32"/>
          <w:szCs w:val="32"/>
        </w:rPr>
        <w:t>2.3</w:t>
      </w:r>
      <w:r>
        <w:rPr>
          <w:rFonts w:hint="eastAsia" w:eastAsia="仿宋_GB2312"/>
          <w:color w:val="000000"/>
          <w:sz w:val="32"/>
          <w:szCs w:val="32"/>
        </w:rPr>
        <w:t>亿立方米。加强煤层气（煤矿瓦斯）综合利用，实施生物天然气工程。加快储气调峰设施建设步伐，</w:t>
      </w:r>
      <w:r>
        <w:rPr>
          <w:rFonts w:eastAsia="仿宋_GB2312"/>
          <w:color w:val="000000"/>
          <w:sz w:val="32"/>
          <w:szCs w:val="32"/>
        </w:rPr>
        <w:t>2020</w:t>
      </w:r>
      <w:r>
        <w:rPr>
          <w:rFonts w:hint="eastAsia" w:eastAsia="仿宋_GB2312"/>
          <w:color w:val="000000"/>
          <w:sz w:val="32"/>
          <w:szCs w:val="32"/>
        </w:rPr>
        <w:t>年</w:t>
      </w:r>
      <w:r>
        <w:rPr>
          <w:rFonts w:eastAsia="仿宋_GB2312"/>
          <w:color w:val="000000"/>
          <w:sz w:val="32"/>
          <w:szCs w:val="32"/>
        </w:rPr>
        <w:t>10</w:t>
      </w:r>
      <w:r>
        <w:rPr>
          <w:rFonts w:hint="eastAsia" w:eastAsia="仿宋_GB2312"/>
          <w:color w:val="000000"/>
          <w:sz w:val="32"/>
          <w:szCs w:val="32"/>
        </w:rPr>
        <w:t>月底前，储备能力达到市量化指标要求。新增天然气优先用于城镇居民和大气污染严重地区的散煤替代，实现</w:t>
      </w:r>
      <w:r>
        <w:rPr>
          <w:rFonts w:eastAsia="仿宋_GB2312"/>
          <w:color w:val="000000"/>
          <w:sz w:val="32"/>
          <w:szCs w:val="32"/>
        </w:rPr>
        <w:t>“</w:t>
      </w:r>
      <w:r>
        <w:rPr>
          <w:rFonts w:hint="eastAsia" w:eastAsia="仿宋_GB2312"/>
          <w:color w:val="000000"/>
          <w:sz w:val="32"/>
          <w:szCs w:val="32"/>
        </w:rPr>
        <w:t>增气减煤</w:t>
      </w:r>
      <w:r>
        <w:rPr>
          <w:rFonts w:eastAsia="仿宋_GB2312"/>
          <w:color w:val="000000"/>
          <w:sz w:val="32"/>
          <w:szCs w:val="32"/>
        </w:rPr>
        <w:t>”</w:t>
      </w:r>
      <w:r>
        <w:rPr>
          <w:rFonts w:hint="eastAsia" w:eastAsia="仿宋_GB2312"/>
          <w:color w:val="000000"/>
          <w:sz w:val="32"/>
          <w:szCs w:val="32"/>
        </w:rPr>
        <w:t>。</w:t>
      </w:r>
      <w:r>
        <w:rPr>
          <w:rFonts w:hint="eastAsia" w:eastAsia="楷体_GB2312"/>
          <w:color w:val="000000"/>
          <w:sz w:val="32"/>
          <w:szCs w:val="32"/>
        </w:rPr>
        <w:t>（经济发展局、建设局牵头）</w:t>
      </w:r>
    </w:p>
    <w:p>
      <w:pPr>
        <w:spacing w:line="560" w:lineRule="exact"/>
        <w:ind w:firstLine="640" w:firstLineChars="200"/>
        <w:rPr>
          <w:color w:val="000000"/>
          <w:sz w:val="32"/>
          <w:szCs w:val="32"/>
        </w:rPr>
      </w:pPr>
      <w:r>
        <w:rPr>
          <w:rFonts w:eastAsia="仿宋_GB2312"/>
          <w:color w:val="000000"/>
          <w:sz w:val="32"/>
          <w:szCs w:val="32"/>
        </w:rPr>
        <w:t xml:space="preserve">2. </w:t>
      </w:r>
      <w:r>
        <w:rPr>
          <w:rFonts w:hint="eastAsia" w:eastAsia="仿宋_GB2312"/>
          <w:color w:val="000000"/>
          <w:sz w:val="32"/>
          <w:szCs w:val="32"/>
        </w:rPr>
        <w:t>大力扩大外电供给能力。抓住西电东输战略机遇，积极争取国家和省支持，稳步扩大外电入淄规模；加快推进电网基础设施建设，提高输变电保障能力，加快农村电网改造升级。</w:t>
      </w:r>
      <w:r>
        <w:rPr>
          <w:rFonts w:hint="eastAsia" w:eastAsia="楷体_GB2312"/>
          <w:color w:val="000000"/>
          <w:sz w:val="32"/>
          <w:szCs w:val="32"/>
        </w:rPr>
        <w:t>（经济发展局、高新供电中心牵头）</w:t>
      </w:r>
    </w:p>
    <w:p>
      <w:pPr>
        <w:pStyle w:val="4"/>
        <w:spacing w:beforeAutospacing="0" w:afterAutospacing="0" w:line="560" w:lineRule="exact"/>
        <w:ind w:firstLine="646"/>
        <w:jc w:val="both"/>
        <w:rPr>
          <w:rFonts w:eastAsia="黑体"/>
          <w:color w:val="000000"/>
          <w:sz w:val="32"/>
          <w:szCs w:val="32"/>
        </w:rPr>
      </w:pPr>
      <w:r>
        <w:rPr>
          <w:rFonts w:eastAsia="仿宋_GB2312"/>
          <w:color w:val="000000"/>
          <w:sz w:val="32"/>
          <w:szCs w:val="32"/>
        </w:rPr>
        <w:t xml:space="preserve">3. </w:t>
      </w:r>
      <w:r>
        <w:rPr>
          <w:rFonts w:hint="eastAsia" w:eastAsia="仿宋_GB2312"/>
          <w:color w:val="000000"/>
          <w:sz w:val="32"/>
          <w:szCs w:val="32"/>
        </w:rPr>
        <w:t>大力调整能源布局。优化油气资源输入保障，科学布局原油、液化天然气（</w:t>
      </w:r>
      <w:r>
        <w:rPr>
          <w:rFonts w:eastAsia="仿宋_GB2312"/>
          <w:color w:val="000000"/>
          <w:sz w:val="32"/>
          <w:szCs w:val="32"/>
        </w:rPr>
        <w:t>LNG</w:t>
      </w:r>
      <w:r>
        <w:rPr>
          <w:rFonts w:hint="eastAsia" w:eastAsia="仿宋_GB2312"/>
          <w:color w:val="000000"/>
          <w:sz w:val="32"/>
          <w:szCs w:val="32"/>
        </w:rPr>
        <w:t>）等接卸设施，科学有序布局发展煤电，按照区域生物质产出类型，在不影响植被和生态保护的前提下，科学布局生物质发电项目。</w:t>
      </w:r>
      <w:r>
        <w:rPr>
          <w:rFonts w:hint="eastAsia" w:eastAsia="楷体_GB2312"/>
          <w:color w:val="000000"/>
          <w:sz w:val="32"/>
          <w:szCs w:val="32"/>
        </w:rPr>
        <w:t>（经济发展局牵头）</w:t>
      </w:r>
    </w:p>
    <w:p>
      <w:pPr>
        <w:pStyle w:val="4"/>
        <w:spacing w:beforeAutospacing="0" w:afterAutospacing="0" w:line="560" w:lineRule="exact"/>
        <w:ind w:firstLine="645"/>
        <w:jc w:val="both"/>
        <w:rPr>
          <w:rFonts w:eastAsia="微软雅黑"/>
          <w:color w:val="000000"/>
          <w:sz w:val="22"/>
          <w:szCs w:val="22"/>
        </w:rPr>
      </w:pPr>
      <w:r>
        <w:rPr>
          <w:rFonts w:hint="eastAsia" w:eastAsia="黑体"/>
          <w:color w:val="000000"/>
          <w:sz w:val="31"/>
          <w:szCs w:val="31"/>
        </w:rPr>
        <w:t>四、调整交通运输结构</w:t>
      </w:r>
    </w:p>
    <w:p>
      <w:pPr>
        <w:spacing w:line="560" w:lineRule="exact"/>
        <w:ind w:firstLine="640" w:firstLineChars="200"/>
        <w:rPr>
          <w:rFonts w:eastAsia="仿宋_GB2312"/>
          <w:color w:val="000000"/>
          <w:sz w:val="32"/>
          <w:szCs w:val="32"/>
        </w:rPr>
      </w:pPr>
      <w:r>
        <w:rPr>
          <w:rFonts w:hint="eastAsia" w:eastAsia="仿宋_GB2312"/>
          <w:color w:val="000000"/>
          <w:sz w:val="32"/>
          <w:szCs w:val="32"/>
        </w:rPr>
        <w:t>通过压缩公路货物运输量，提升公路运输效率，实施公路运输绿色化改造，加大多式联运货物运输量，提升铁路货运能力，着力控制移动污染源。到</w:t>
      </w:r>
      <w:r>
        <w:rPr>
          <w:rFonts w:eastAsia="仿宋_GB2312"/>
          <w:color w:val="000000"/>
          <w:sz w:val="32"/>
          <w:szCs w:val="32"/>
        </w:rPr>
        <w:t>2020</w:t>
      </w:r>
      <w:r>
        <w:rPr>
          <w:rFonts w:hint="eastAsia" w:eastAsia="仿宋_GB2312"/>
          <w:color w:val="000000"/>
          <w:sz w:val="32"/>
          <w:szCs w:val="32"/>
        </w:rPr>
        <w:t>年，公路货运周转量占比显著降低。</w:t>
      </w:r>
    </w:p>
    <w:p>
      <w:pPr>
        <w:spacing w:line="560" w:lineRule="exact"/>
        <w:ind w:firstLine="640" w:firstLineChars="200"/>
        <w:rPr>
          <w:rFonts w:eastAsia="楷体_GB2312"/>
          <w:color w:val="000000"/>
          <w:sz w:val="32"/>
          <w:szCs w:val="32"/>
        </w:rPr>
      </w:pPr>
      <w:r>
        <w:rPr>
          <w:rFonts w:hint="eastAsia" w:eastAsia="楷体_GB2312"/>
          <w:color w:val="000000"/>
          <w:sz w:val="32"/>
          <w:szCs w:val="32"/>
        </w:rPr>
        <w:t>（一）大幅减少公路货物运输量</w:t>
      </w:r>
    </w:p>
    <w:p>
      <w:pPr>
        <w:pStyle w:val="4"/>
        <w:spacing w:beforeAutospacing="0" w:afterAutospacing="0" w:line="560" w:lineRule="exact"/>
        <w:ind w:firstLine="645"/>
        <w:jc w:val="both"/>
        <w:rPr>
          <w:rFonts w:eastAsia="楷体_GB2312"/>
          <w:color w:val="000000"/>
          <w:sz w:val="32"/>
          <w:szCs w:val="32"/>
        </w:rPr>
      </w:pPr>
      <w:r>
        <w:rPr>
          <w:rFonts w:eastAsia="仿宋_GB2312"/>
          <w:color w:val="000000"/>
          <w:kern w:val="2"/>
          <w:sz w:val="32"/>
          <w:szCs w:val="32"/>
        </w:rPr>
        <w:t xml:space="preserve">1. </w:t>
      </w:r>
      <w:r>
        <w:rPr>
          <w:rFonts w:hint="eastAsia" w:eastAsia="仿宋_GB2312"/>
          <w:color w:val="000000"/>
          <w:kern w:val="2"/>
          <w:sz w:val="32"/>
          <w:szCs w:val="32"/>
        </w:rPr>
        <w:t>减少大宗物料公路运输量。到</w:t>
      </w:r>
      <w:r>
        <w:rPr>
          <w:rFonts w:eastAsia="仿宋_GB2312"/>
          <w:color w:val="000000"/>
          <w:kern w:val="2"/>
          <w:sz w:val="32"/>
          <w:szCs w:val="32"/>
        </w:rPr>
        <w:t>2020</w:t>
      </w:r>
      <w:r>
        <w:rPr>
          <w:rFonts w:hint="eastAsia" w:eastAsia="仿宋_GB2312"/>
          <w:color w:val="000000"/>
          <w:kern w:val="2"/>
          <w:sz w:val="32"/>
          <w:szCs w:val="32"/>
        </w:rPr>
        <w:t>年，对运输距离在</w:t>
      </w:r>
      <w:r>
        <w:rPr>
          <w:rFonts w:eastAsia="仿宋_GB2312"/>
          <w:color w:val="000000"/>
          <w:kern w:val="2"/>
          <w:sz w:val="32"/>
          <w:szCs w:val="32"/>
        </w:rPr>
        <w:t>400</w:t>
      </w:r>
      <w:r>
        <w:rPr>
          <w:rFonts w:hint="eastAsia" w:eastAsia="仿宋_GB2312"/>
          <w:color w:val="000000"/>
          <w:kern w:val="2"/>
          <w:sz w:val="32"/>
          <w:szCs w:val="32"/>
        </w:rPr>
        <w:t>公里以上，计划性较强的煤炭、矿石、焦炭、石油等大宗货物基本转为铁路运输。已有铁路专用线的重点工业企业，到</w:t>
      </w:r>
      <w:r>
        <w:rPr>
          <w:rFonts w:eastAsia="仿宋_GB2312"/>
          <w:color w:val="000000"/>
          <w:kern w:val="2"/>
          <w:sz w:val="32"/>
          <w:szCs w:val="32"/>
        </w:rPr>
        <w:t>2020</w:t>
      </w:r>
      <w:r>
        <w:rPr>
          <w:rFonts w:hint="eastAsia" w:eastAsia="仿宋_GB2312"/>
          <w:color w:val="000000"/>
          <w:kern w:val="2"/>
          <w:sz w:val="32"/>
          <w:szCs w:val="32"/>
        </w:rPr>
        <w:t>年，铁路装车能力利用率达到</w:t>
      </w:r>
      <w:r>
        <w:rPr>
          <w:rFonts w:eastAsia="仿宋_GB2312"/>
          <w:color w:val="000000"/>
          <w:kern w:val="2"/>
          <w:sz w:val="32"/>
          <w:szCs w:val="32"/>
        </w:rPr>
        <w:t>85%</w:t>
      </w:r>
      <w:r>
        <w:rPr>
          <w:rFonts w:hint="eastAsia" w:eastAsia="仿宋_GB2312"/>
          <w:color w:val="000000"/>
          <w:kern w:val="2"/>
          <w:sz w:val="32"/>
          <w:szCs w:val="32"/>
        </w:rPr>
        <w:t>，卸车能力利用率达到</w:t>
      </w:r>
      <w:r>
        <w:rPr>
          <w:rFonts w:eastAsia="仿宋_GB2312"/>
          <w:color w:val="000000"/>
          <w:kern w:val="2"/>
          <w:sz w:val="32"/>
          <w:szCs w:val="32"/>
        </w:rPr>
        <w:t>89%</w:t>
      </w:r>
      <w:r>
        <w:rPr>
          <w:rFonts w:hint="eastAsia" w:eastAsia="仿宋_GB2312"/>
          <w:color w:val="000000"/>
          <w:kern w:val="2"/>
          <w:sz w:val="32"/>
          <w:szCs w:val="32"/>
        </w:rPr>
        <w:t>，已有铁路专用线的重点工业企业铁路运输比例达到国家要求。加快钢铁、焦化、电力等重点企业和工业园区铁路专用线建设，推动货物由公路运输转向铁路运输，显著提高大宗货物非公路货运比例。开展中小企业原材料铁路敞顶集装箱配送工作。新、改、扩建涉及大宗物料运输的建设项目，原则上不得采用公路运输。</w:t>
      </w:r>
      <w:r>
        <w:rPr>
          <w:rFonts w:hint="eastAsia" w:eastAsia="楷体_GB2312"/>
          <w:color w:val="000000"/>
          <w:sz w:val="32"/>
          <w:szCs w:val="32"/>
        </w:rPr>
        <w:t>（经济发展局、建设局牵头）</w:t>
      </w:r>
    </w:p>
    <w:p>
      <w:pPr>
        <w:pStyle w:val="4"/>
        <w:spacing w:beforeAutospacing="0" w:afterAutospacing="0" w:line="560" w:lineRule="exact"/>
        <w:ind w:firstLine="645"/>
        <w:jc w:val="both"/>
        <w:rPr>
          <w:rFonts w:eastAsia="楷体_GB2312"/>
          <w:color w:val="000000"/>
          <w:sz w:val="32"/>
          <w:szCs w:val="32"/>
        </w:rPr>
      </w:pPr>
      <w:r>
        <w:rPr>
          <w:rFonts w:hint="eastAsia" w:eastAsia="仿宋_GB2312"/>
          <w:color w:val="000000"/>
          <w:kern w:val="2"/>
          <w:sz w:val="32"/>
          <w:szCs w:val="32"/>
          <w:highlight w:val="none"/>
        </w:rPr>
        <w:t>压减危险化学品公路运输，加快建设原油和成品油输送网络，到</w:t>
      </w:r>
      <w:r>
        <w:rPr>
          <w:rFonts w:eastAsia="仿宋_GB2312"/>
          <w:color w:val="000000"/>
          <w:kern w:val="2"/>
          <w:sz w:val="32"/>
          <w:szCs w:val="32"/>
          <w:highlight w:val="none"/>
        </w:rPr>
        <w:t>2020</w:t>
      </w:r>
      <w:r>
        <w:rPr>
          <w:rFonts w:hint="eastAsia" w:eastAsia="仿宋_GB2312"/>
          <w:color w:val="000000"/>
          <w:kern w:val="2"/>
          <w:sz w:val="32"/>
          <w:szCs w:val="32"/>
          <w:highlight w:val="none"/>
        </w:rPr>
        <w:t>年，全区成品油消费区域的原油和成品油主要采用管道运输。加快构建全覆盖的天然气输送网络，到</w:t>
      </w:r>
      <w:r>
        <w:rPr>
          <w:rFonts w:eastAsia="仿宋_GB2312"/>
          <w:color w:val="000000"/>
          <w:kern w:val="2"/>
          <w:sz w:val="32"/>
          <w:szCs w:val="32"/>
          <w:highlight w:val="none"/>
        </w:rPr>
        <w:t>2020</w:t>
      </w:r>
      <w:r>
        <w:rPr>
          <w:rFonts w:hint="eastAsia" w:eastAsia="仿宋_GB2312"/>
          <w:color w:val="000000"/>
          <w:kern w:val="2"/>
          <w:sz w:val="32"/>
          <w:szCs w:val="32"/>
          <w:highlight w:val="none"/>
        </w:rPr>
        <w:t>年，基本实现天然气管道</w:t>
      </w:r>
      <w:r>
        <w:rPr>
          <w:rFonts w:eastAsia="仿宋_GB2312"/>
          <w:color w:val="000000"/>
          <w:kern w:val="2"/>
          <w:sz w:val="32"/>
          <w:szCs w:val="32"/>
          <w:highlight w:val="none"/>
        </w:rPr>
        <w:t>“</w:t>
      </w:r>
      <w:r>
        <w:rPr>
          <w:rFonts w:hint="eastAsia" w:eastAsia="仿宋_GB2312"/>
          <w:color w:val="000000"/>
          <w:kern w:val="2"/>
          <w:sz w:val="32"/>
          <w:szCs w:val="32"/>
          <w:highlight w:val="none"/>
        </w:rPr>
        <w:t>镇镇通</w:t>
      </w:r>
      <w:r>
        <w:rPr>
          <w:rFonts w:eastAsia="仿宋_GB2312"/>
          <w:color w:val="000000"/>
          <w:kern w:val="2"/>
          <w:sz w:val="32"/>
          <w:szCs w:val="32"/>
          <w:highlight w:val="none"/>
        </w:rPr>
        <w:t>”</w:t>
      </w:r>
      <w:r>
        <w:rPr>
          <w:rFonts w:hint="eastAsia" w:eastAsia="仿宋_GB2312"/>
          <w:color w:val="000000"/>
          <w:kern w:val="2"/>
          <w:sz w:val="32"/>
          <w:szCs w:val="32"/>
          <w:highlight w:val="none"/>
        </w:rPr>
        <w:t>。</w:t>
      </w:r>
      <w:r>
        <w:rPr>
          <w:rFonts w:hint="eastAsia" w:eastAsia="楷体_GB2312"/>
          <w:color w:val="000000"/>
          <w:sz w:val="32"/>
          <w:szCs w:val="32"/>
          <w:highlight w:val="none"/>
        </w:rPr>
        <w:t>（</w:t>
      </w:r>
      <w:r>
        <w:rPr>
          <w:rFonts w:hint="eastAsia" w:eastAsia="楷体_GB2312"/>
          <w:color w:val="000000"/>
          <w:sz w:val="32"/>
          <w:szCs w:val="32"/>
          <w:highlight w:val="none"/>
          <w:lang w:eastAsia="zh-CN"/>
        </w:rPr>
        <w:t>经济发展局</w:t>
      </w:r>
      <w:r>
        <w:rPr>
          <w:rFonts w:hint="eastAsia" w:eastAsia="楷体_GB2312"/>
          <w:color w:val="000000"/>
          <w:sz w:val="32"/>
          <w:szCs w:val="32"/>
          <w:highlight w:val="none"/>
        </w:rPr>
        <w:t>、</w:t>
      </w:r>
      <w:r>
        <w:rPr>
          <w:rFonts w:hint="eastAsia" w:eastAsia="楷体_GB2312"/>
          <w:color w:val="000000"/>
          <w:sz w:val="32"/>
          <w:szCs w:val="32"/>
        </w:rPr>
        <w:t>建设局牵头）</w:t>
      </w:r>
    </w:p>
    <w:p>
      <w:pPr>
        <w:pStyle w:val="4"/>
        <w:spacing w:beforeAutospacing="0" w:afterAutospacing="0" w:line="560" w:lineRule="exact"/>
        <w:ind w:firstLine="645"/>
        <w:jc w:val="both"/>
        <w:rPr>
          <w:rFonts w:eastAsia="楷体_GB2312"/>
          <w:color w:val="000000"/>
          <w:sz w:val="32"/>
          <w:szCs w:val="32"/>
        </w:rPr>
      </w:pPr>
      <w:r>
        <w:rPr>
          <w:rFonts w:eastAsia="仿宋_GB2312"/>
          <w:color w:val="000000"/>
          <w:kern w:val="2"/>
          <w:sz w:val="32"/>
          <w:szCs w:val="32"/>
        </w:rPr>
        <w:t xml:space="preserve">2. </w:t>
      </w:r>
      <w:r>
        <w:rPr>
          <w:rFonts w:hint="eastAsia" w:eastAsia="仿宋_GB2312"/>
          <w:color w:val="000000"/>
          <w:kern w:val="2"/>
          <w:sz w:val="32"/>
          <w:szCs w:val="32"/>
        </w:rPr>
        <w:t>着力控制柴油货车污染。加快淘汰高排放、老旧柴油货车，</w:t>
      </w:r>
      <w:r>
        <w:rPr>
          <w:rFonts w:eastAsia="仿宋_GB2312"/>
          <w:color w:val="000000"/>
          <w:kern w:val="2"/>
          <w:sz w:val="32"/>
          <w:szCs w:val="32"/>
        </w:rPr>
        <w:t>2018</w:t>
      </w:r>
      <w:r>
        <w:rPr>
          <w:rFonts w:hint="eastAsia" w:eastAsia="仿宋_GB2312"/>
          <w:color w:val="000000"/>
          <w:kern w:val="2"/>
          <w:sz w:val="32"/>
          <w:szCs w:val="32"/>
        </w:rPr>
        <w:t>年年底前，淘汰全区全部国二及以下车辆（包括</w:t>
      </w:r>
      <w:r>
        <w:rPr>
          <w:rFonts w:eastAsia="仿宋_GB2312"/>
          <w:color w:val="000000"/>
          <w:kern w:val="2"/>
          <w:sz w:val="32"/>
          <w:szCs w:val="32"/>
        </w:rPr>
        <w:t>“</w:t>
      </w:r>
      <w:r>
        <w:rPr>
          <w:rFonts w:hint="eastAsia" w:eastAsia="仿宋_GB2312"/>
          <w:color w:val="000000"/>
          <w:kern w:val="2"/>
          <w:sz w:val="32"/>
          <w:szCs w:val="32"/>
        </w:rPr>
        <w:t>黄改绿</w:t>
      </w:r>
      <w:r>
        <w:rPr>
          <w:rFonts w:eastAsia="仿宋_GB2312"/>
          <w:color w:val="000000"/>
          <w:kern w:val="2"/>
          <w:sz w:val="32"/>
          <w:szCs w:val="32"/>
        </w:rPr>
        <w:t>”</w:t>
      </w:r>
      <w:r>
        <w:rPr>
          <w:rFonts w:hint="eastAsia" w:eastAsia="仿宋_GB2312"/>
          <w:color w:val="000000"/>
          <w:kern w:val="2"/>
          <w:sz w:val="32"/>
          <w:szCs w:val="32"/>
        </w:rPr>
        <w:t>车辆），逾期不办理注销登记的，依法依规予以公告牌证作废。</w:t>
      </w:r>
      <w:r>
        <w:rPr>
          <w:rFonts w:hint="eastAsia" w:eastAsia="楷体_GB2312"/>
          <w:color w:val="000000"/>
          <w:sz w:val="32"/>
          <w:szCs w:val="32"/>
        </w:rPr>
        <w:t>（高新区交警大队、环保局、建设局牵头）</w:t>
      </w:r>
      <w:r>
        <w:rPr>
          <w:rFonts w:hint="eastAsia" w:eastAsia="仿宋_GB2312"/>
          <w:color w:val="000000"/>
          <w:kern w:val="2"/>
          <w:sz w:val="32"/>
          <w:szCs w:val="32"/>
        </w:rPr>
        <w:t>落实国家柴油货车淘汰补贴政策，加快淘汰稀薄燃烧技术、</w:t>
      </w:r>
      <w:r>
        <w:rPr>
          <w:rFonts w:eastAsia="仿宋_GB2312"/>
          <w:color w:val="000000"/>
          <w:kern w:val="2"/>
          <w:sz w:val="32"/>
          <w:szCs w:val="32"/>
        </w:rPr>
        <w:t>“</w:t>
      </w:r>
      <w:r>
        <w:rPr>
          <w:rFonts w:hint="eastAsia" w:eastAsia="仿宋_GB2312"/>
          <w:color w:val="000000"/>
          <w:kern w:val="2"/>
          <w:sz w:val="32"/>
          <w:szCs w:val="32"/>
        </w:rPr>
        <w:t>油改气</w:t>
      </w:r>
      <w:r>
        <w:rPr>
          <w:rFonts w:eastAsia="仿宋_GB2312"/>
          <w:color w:val="000000"/>
          <w:kern w:val="2"/>
          <w:sz w:val="32"/>
          <w:szCs w:val="32"/>
        </w:rPr>
        <w:t>”</w:t>
      </w:r>
      <w:r>
        <w:rPr>
          <w:rFonts w:hint="eastAsia" w:eastAsia="仿宋_GB2312"/>
          <w:color w:val="000000"/>
          <w:kern w:val="2"/>
          <w:sz w:val="32"/>
          <w:szCs w:val="32"/>
        </w:rPr>
        <w:t>老旧燃气车辆和高排放、高污染的国三营运柴油货车，完成省下达的国三营运柴油货车淘汰任务，对纳入淘汰范围的车辆，不予办理变更、检验及转移登记。</w:t>
      </w:r>
      <w:r>
        <w:rPr>
          <w:rFonts w:hint="eastAsia" w:eastAsia="楷体_GB2312"/>
          <w:color w:val="000000"/>
          <w:sz w:val="32"/>
          <w:szCs w:val="32"/>
        </w:rPr>
        <w:t>（建设局、环保局、高新区交警大队、财政局牵头）</w:t>
      </w:r>
      <w:r>
        <w:rPr>
          <w:rFonts w:hint="eastAsia" w:eastAsia="仿宋_GB2312"/>
          <w:color w:val="000000"/>
          <w:kern w:val="2"/>
          <w:sz w:val="32"/>
          <w:szCs w:val="32"/>
        </w:rPr>
        <w:t>加强国三营运柴油货车管控，对不达标排放的车辆，采取前处理或后处理等多种技术手段降低颗粒物、氮氧化物等污染物排放，推动车辆节能降耗，达标排放。同时，对采取后处理技术（</w:t>
      </w:r>
      <w:r>
        <w:rPr>
          <w:rFonts w:eastAsia="仿宋_GB2312"/>
          <w:color w:val="000000"/>
          <w:kern w:val="2"/>
          <w:sz w:val="32"/>
          <w:szCs w:val="32"/>
        </w:rPr>
        <w:t>DPF</w:t>
      </w:r>
      <w:r>
        <w:rPr>
          <w:rFonts w:hint="eastAsia" w:eastAsia="仿宋_GB2312"/>
          <w:color w:val="000000"/>
          <w:kern w:val="2"/>
          <w:sz w:val="32"/>
          <w:szCs w:val="32"/>
        </w:rPr>
        <w:t>）手段的，配备实施排放监控装置，并与行业行政主管部门联网，稳定达标的可免于上线排放检验。强化对已吊销道路运输证柴油货车的监管，严厉打击非法营运行为。</w:t>
      </w:r>
      <w:r>
        <w:rPr>
          <w:rFonts w:hint="eastAsia" w:eastAsia="楷体_GB2312"/>
          <w:color w:val="000000"/>
          <w:sz w:val="32"/>
          <w:szCs w:val="32"/>
        </w:rPr>
        <w:t>（建设局、环保局、高新区交警大队牵头）</w:t>
      </w:r>
      <w:r>
        <w:rPr>
          <w:rFonts w:eastAsia="仿宋_GB2312"/>
          <w:color w:val="000000"/>
          <w:kern w:val="2"/>
          <w:sz w:val="32"/>
          <w:szCs w:val="32"/>
        </w:rPr>
        <w:t>2019</w:t>
      </w:r>
      <w:r>
        <w:rPr>
          <w:rFonts w:hint="eastAsia" w:eastAsia="仿宋_GB2312"/>
          <w:color w:val="000000"/>
          <w:kern w:val="2"/>
          <w:sz w:val="32"/>
          <w:szCs w:val="32"/>
        </w:rPr>
        <w:t>年</w:t>
      </w:r>
      <w:r>
        <w:rPr>
          <w:rFonts w:eastAsia="仿宋_GB2312"/>
          <w:color w:val="000000"/>
          <w:kern w:val="2"/>
          <w:sz w:val="32"/>
          <w:szCs w:val="32"/>
        </w:rPr>
        <w:t>7</w:t>
      </w:r>
      <w:r>
        <w:rPr>
          <w:rFonts w:hint="eastAsia" w:eastAsia="仿宋_GB2312"/>
          <w:color w:val="000000"/>
          <w:kern w:val="2"/>
          <w:sz w:val="32"/>
          <w:szCs w:val="32"/>
        </w:rPr>
        <w:t>月</w:t>
      </w:r>
      <w:r>
        <w:rPr>
          <w:rFonts w:eastAsia="仿宋_GB2312"/>
          <w:color w:val="000000"/>
          <w:kern w:val="2"/>
          <w:sz w:val="32"/>
          <w:szCs w:val="32"/>
        </w:rPr>
        <w:t>1</w:t>
      </w:r>
      <w:r>
        <w:rPr>
          <w:rFonts w:hint="eastAsia" w:eastAsia="仿宋_GB2312"/>
          <w:color w:val="000000"/>
          <w:kern w:val="2"/>
          <w:sz w:val="32"/>
          <w:szCs w:val="32"/>
        </w:rPr>
        <w:t>日起，实施国六排放标准。推广使用达到国六排放标准的燃气汽车。</w:t>
      </w:r>
      <w:r>
        <w:rPr>
          <w:rFonts w:hint="eastAsia" w:eastAsia="楷体_GB2312"/>
          <w:color w:val="000000"/>
          <w:sz w:val="32"/>
          <w:szCs w:val="32"/>
        </w:rPr>
        <w:t>（环保局、建设局牵头）</w:t>
      </w:r>
      <w:r>
        <w:rPr>
          <w:rFonts w:hint="eastAsia" w:eastAsia="仿宋_GB2312"/>
          <w:color w:val="000000"/>
          <w:kern w:val="2"/>
          <w:sz w:val="32"/>
          <w:szCs w:val="32"/>
        </w:rPr>
        <w:t>严厉打击新生产销售机动车环保不达标行为。</w:t>
      </w:r>
      <w:r>
        <w:rPr>
          <w:rFonts w:hint="eastAsia" w:eastAsia="楷体_GB2312"/>
          <w:color w:val="000000"/>
          <w:sz w:val="32"/>
          <w:szCs w:val="32"/>
        </w:rPr>
        <w:t>（环保局、高新区交警大队牵头）</w:t>
      </w:r>
      <w:r>
        <w:rPr>
          <w:rFonts w:hint="eastAsia" w:eastAsia="仿宋_GB2312"/>
          <w:color w:val="000000"/>
          <w:kern w:val="2"/>
          <w:sz w:val="32"/>
          <w:szCs w:val="32"/>
        </w:rPr>
        <w:t>严厉打击排放检验机构检测弄虚作假等违法行为。</w:t>
      </w:r>
      <w:r>
        <w:rPr>
          <w:rFonts w:hint="eastAsia" w:eastAsia="楷体_GB2312"/>
          <w:color w:val="000000"/>
          <w:sz w:val="32"/>
          <w:szCs w:val="32"/>
        </w:rPr>
        <w:t>（环保局、</w:t>
      </w:r>
      <w:r>
        <w:rPr>
          <w:rFonts w:hint="eastAsia" w:eastAsia="楷体_GB2312"/>
          <w:color w:val="000000"/>
          <w:sz w:val="32"/>
          <w:szCs w:val="32"/>
          <w:lang w:eastAsia="zh-CN"/>
        </w:rPr>
        <w:t>市场监督管理局</w:t>
      </w:r>
      <w:r>
        <w:rPr>
          <w:rFonts w:hint="eastAsia" w:eastAsia="楷体_GB2312"/>
          <w:color w:val="000000"/>
          <w:sz w:val="32"/>
          <w:szCs w:val="32"/>
        </w:rPr>
        <w:t>、高新区交警大队牵头）</w:t>
      </w:r>
    </w:p>
    <w:p>
      <w:pPr>
        <w:pStyle w:val="4"/>
        <w:spacing w:beforeAutospacing="0" w:afterAutospacing="0" w:line="560" w:lineRule="exact"/>
        <w:ind w:firstLine="645"/>
        <w:jc w:val="both"/>
        <w:rPr>
          <w:rFonts w:eastAsia="楷体_GB2312"/>
          <w:color w:val="000000"/>
          <w:sz w:val="32"/>
          <w:szCs w:val="32"/>
        </w:rPr>
      </w:pPr>
      <w:r>
        <w:rPr>
          <w:rFonts w:hint="eastAsia" w:eastAsia="仿宋_GB2312"/>
          <w:color w:val="000000"/>
          <w:kern w:val="2"/>
          <w:sz w:val="32"/>
          <w:szCs w:val="32"/>
        </w:rPr>
        <w:t>加强在用柴油货车联合执法检查，推进治超联合执法常态化、制度化，加大对超限超载行为的监管力度，严格实施</w:t>
      </w:r>
      <w:r>
        <w:rPr>
          <w:rFonts w:eastAsia="仿宋_GB2312"/>
          <w:color w:val="000000"/>
          <w:kern w:val="2"/>
          <w:sz w:val="32"/>
          <w:szCs w:val="32"/>
        </w:rPr>
        <w:t>“</w:t>
      </w:r>
      <w:r>
        <w:rPr>
          <w:rFonts w:hint="eastAsia" w:eastAsia="仿宋_GB2312"/>
          <w:color w:val="000000"/>
          <w:kern w:val="2"/>
          <w:sz w:val="32"/>
          <w:szCs w:val="32"/>
        </w:rPr>
        <w:t>一超四罚</w:t>
      </w:r>
      <w:r>
        <w:rPr>
          <w:rFonts w:eastAsia="仿宋_GB2312"/>
          <w:color w:val="000000"/>
          <w:kern w:val="2"/>
          <w:sz w:val="32"/>
          <w:szCs w:val="32"/>
        </w:rPr>
        <w:t>”</w:t>
      </w:r>
      <w:r>
        <w:rPr>
          <w:rFonts w:hint="eastAsia" w:eastAsia="仿宋_GB2312"/>
          <w:color w:val="000000"/>
          <w:kern w:val="2"/>
          <w:sz w:val="32"/>
          <w:szCs w:val="32"/>
        </w:rPr>
        <w:t>，推进治超</w:t>
      </w:r>
      <w:r>
        <w:rPr>
          <w:rFonts w:eastAsia="仿宋_GB2312"/>
          <w:color w:val="000000"/>
          <w:kern w:val="2"/>
          <w:sz w:val="32"/>
          <w:szCs w:val="32"/>
        </w:rPr>
        <w:t>“</w:t>
      </w:r>
      <w:r>
        <w:rPr>
          <w:rFonts w:hint="eastAsia" w:eastAsia="仿宋_GB2312"/>
          <w:color w:val="000000"/>
          <w:kern w:val="2"/>
          <w:sz w:val="32"/>
          <w:szCs w:val="32"/>
        </w:rPr>
        <w:t>非现场执法</w:t>
      </w:r>
      <w:r>
        <w:rPr>
          <w:rFonts w:eastAsia="仿宋_GB2312"/>
          <w:color w:val="000000"/>
          <w:kern w:val="2"/>
          <w:sz w:val="32"/>
          <w:szCs w:val="32"/>
        </w:rPr>
        <w:t>”</w:t>
      </w:r>
      <w:r>
        <w:rPr>
          <w:rFonts w:hint="eastAsia" w:eastAsia="仿宋_GB2312"/>
          <w:color w:val="000000"/>
          <w:kern w:val="2"/>
          <w:sz w:val="32"/>
          <w:szCs w:val="32"/>
        </w:rPr>
        <w:t>。实施信用治超，对严重违法当事人实施联合惩戒。</w:t>
      </w:r>
      <w:r>
        <w:rPr>
          <w:rFonts w:hint="eastAsia" w:eastAsia="楷体_GB2312"/>
          <w:color w:val="000000"/>
          <w:sz w:val="32"/>
          <w:szCs w:val="32"/>
        </w:rPr>
        <w:t>（建设局、高新区交警大队牵头）</w:t>
      </w:r>
      <w:r>
        <w:rPr>
          <w:rFonts w:hint="eastAsia" w:eastAsia="仿宋_GB2312"/>
          <w:color w:val="000000"/>
          <w:kern w:val="2"/>
          <w:sz w:val="32"/>
          <w:szCs w:val="32"/>
        </w:rPr>
        <w:t>构建</w:t>
      </w:r>
      <w:r>
        <w:rPr>
          <w:rFonts w:eastAsia="仿宋_GB2312"/>
          <w:color w:val="000000"/>
          <w:kern w:val="2"/>
          <w:sz w:val="32"/>
          <w:szCs w:val="32"/>
        </w:rPr>
        <w:t>“</w:t>
      </w:r>
      <w:r>
        <w:rPr>
          <w:rFonts w:hint="eastAsia" w:eastAsia="仿宋_GB2312"/>
          <w:color w:val="000000"/>
          <w:kern w:val="2"/>
          <w:sz w:val="32"/>
          <w:szCs w:val="32"/>
        </w:rPr>
        <w:t>环保取证、公安处罚、交通维修</w:t>
      </w:r>
      <w:r>
        <w:rPr>
          <w:rFonts w:eastAsia="仿宋_GB2312"/>
          <w:color w:val="000000"/>
          <w:kern w:val="2"/>
          <w:sz w:val="32"/>
          <w:szCs w:val="32"/>
        </w:rPr>
        <w:t>”</w:t>
      </w:r>
      <w:r>
        <w:rPr>
          <w:rFonts w:hint="eastAsia" w:eastAsia="仿宋_GB2312"/>
          <w:color w:val="000000"/>
          <w:kern w:val="2"/>
          <w:sz w:val="32"/>
          <w:szCs w:val="32"/>
        </w:rPr>
        <w:t>的联合监管执法模式。采用路面联合执法检查、黑烟抓拍、遥感抽测等方式，加大对道路行驶柴油货车检查力度。</w:t>
      </w:r>
      <w:r>
        <w:rPr>
          <w:rFonts w:hint="eastAsia" w:eastAsia="楷体_GB2312"/>
          <w:color w:val="000000"/>
          <w:sz w:val="32"/>
          <w:szCs w:val="32"/>
        </w:rPr>
        <w:t>（环保局、高新区交警大队、建设局牵头）</w:t>
      </w:r>
      <w:r>
        <w:rPr>
          <w:rFonts w:hint="eastAsia" w:eastAsia="仿宋_GB2312"/>
          <w:color w:val="000000"/>
          <w:kern w:val="2"/>
          <w:sz w:val="32"/>
          <w:szCs w:val="32"/>
        </w:rPr>
        <w:t>开展物流园区、工业园区、货物集散地、公共交通场站等车辆集中停放地，以及环卫、邮政、旅游、长途客运、物流和工矿企业等重点单位停放地抽测。</w:t>
      </w:r>
      <w:r>
        <w:rPr>
          <w:rFonts w:eastAsia="仿宋_GB2312"/>
          <w:color w:val="000000"/>
          <w:kern w:val="2"/>
          <w:sz w:val="32"/>
          <w:szCs w:val="32"/>
        </w:rPr>
        <w:t>2019</w:t>
      </w:r>
      <w:r>
        <w:rPr>
          <w:rFonts w:hint="eastAsia" w:eastAsia="仿宋_GB2312"/>
          <w:color w:val="000000"/>
          <w:kern w:val="2"/>
          <w:sz w:val="32"/>
          <w:szCs w:val="32"/>
        </w:rPr>
        <w:t>年起，每年监督抽测执法和遥感非现场执法的柴油货车比例不低于柴油货车保有量的</w:t>
      </w:r>
      <w:r>
        <w:rPr>
          <w:rFonts w:eastAsia="仿宋_GB2312"/>
          <w:color w:val="000000"/>
          <w:kern w:val="2"/>
          <w:sz w:val="32"/>
          <w:szCs w:val="32"/>
        </w:rPr>
        <w:t>90%</w:t>
      </w:r>
      <w:r>
        <w:rPr>
          <w:rFonts w:hint="eastAsia" w:eastAsia="仿宋_GB2312"/>
          <w:color w:val="000000"/>
          <w:kern w:val="2"/>
          <w:sz w:val="32"/>
          <w:szCs w:val="32"/>
        </w:rPr>
        <w:t>。</w:t>
      </w:r>
      <w:r>
        <w:rPr>
          <w:rFonts w:hint="eastAsia" w:eastAsia="楷体_GB2312"/>
          <w:color w:val="000000"/>
          <w:sz w:val="32"/>
          <w:szCs w:val="32"/>
        </w:rPr>
        <w:t>（环保局牵头）</w:t>
      </w:r>
      <w:r>
        <w:rPr>
          <w:rFonts w:hint="eastAsia" w:eastAsia="仿宋_GB2312"/>
          <w:color w:val="000000"/>
          <w:kern w:val="2"/>
          <w:sz w:val="32"/>
          <w:szCs w:val="32"/>
        </w:rPr>
        <w:t>对超标排放的，环境保护部门负责将超标车辆信息与公安交管、交通运输部门共享，由公安部门依法实施处罚。对逾期未维修治理或综合性能检测周期内三次以上监督抽测超标的，交通运输部门依法依规吊销营运车辆的道路运输证，对于问题严重的运输企业依法依规吊销其道路运输经营许可证。</w:t>
      </w:r>
      <w:r>
        <w:rPr>
          <w:rFonts w:hint="eastAsia" w:eastAsia="楷体_GB2312"/>
          <w:color w:val="000000"/>
          <w:sz w:val="32"/>
          <w:szCs w:val="32"/>
        </w:rPr>
        <w:t>（环保局、高新区交警大队、高新区公安分局、建设局牵头）</w:t>
      </w:r>
    </w:p>
    <w:p>
      <w:pPr>
        <w:pStyle w:val="4"/>
        <w:spacing w:beforeAutospacing="0" w:afterAutospacing="0" w:line="560" w:lineRule="exact"/>
        <w:ind w:firstLine="645"/>
        <w:jc w:val="both"/>
        <w:rPr>
          <w:rFonts w:eastAsia="楷体_GB2312"/>
          <w:color w:val="000000"/>
          <w:sz w:val="32"/>
          <w:szCs w:val="32"/>
        </w:rPr>
      </w:pPr>
      <w:r>
        <w:rPr>
          <w:rFonts w:hint="eastAsia" w:eastAsia="仿宋_GB2312"/>
          <w:color w:val="000000"/>
          <w:kern w:val="2"/>
          <w:sz w:val="32"/>
          <w:szCs w:val="32"/>
        </w:rPr>
        <w:t>强化柴油车用油品和尿素生产、销售使用环节监管，开展车用柴油、燃气和尿素生产、销售环节常态化监督检查和炼油厂、加油（气）站、油库、企业自备油库油（气）质量专项检查，实现市、县两级加油站、油品仓储和批发企业监督检测年度全覆盖，对制售不合格油气行为一律依法从严快查快处，严禁运输企业储存使用非标油。开展整治打击</w:t>
      </w:r>
      <w:r>
        <w:rPr>
          <w:rFonts w:eastAsia="仿宋_GB2312"/>
          <w:color w:val="000000"/>
          <w:kern w:val="2"/>
          <w:sz w:val="32"/>
          <w:szCs w:val="32"/>
        </w:rPr>
        <w:t>“</w:t>
      </w:r>
      <w:r>
        <w:rPr>
          <w:rFonts w:hint="eastAsia" w:eastAsia="仿宋_GB2312"/>
          <w:color w:val="000000"/>
          <w:kern w:val="2"/>
          <w:sz w:val="32"/>
          <w:szCs w:val="32"/>
        </w:rPr>
        <w:t>黑加油（气）站点</w:t>
      </w:r>
      <w:r>
        <w:rPr>
          <w:rFonts w:eastAsia="仿宋_GB2312"/>
          <w:color w:val="000000"/>
          <w:kern w:val="2"/>
          <w:sz w:val="32"/>
          <w:szCs w:val="32"/>
        </w:rPr>
        <w:t>”</w:t>
      </w:r>
      <w:r>
        <w:rPr>
          <w:rFonts w:hint="eastAsia" w:eastAsia="仿宋_GB2312"/>
          <w:color w:val="000000"/>
          <w:kern w:val="2"/>
          <w:sz w:val="32"/>
          <w:szCs w:val="32"/>
        </w:rPr>
        <w:t>专项行动，加大宣传曝光力度，广泛发动群众举报黑加油（气）站点，一旦查处，全部依法取缔，并追究相关人员责任。对加油站、油品仓储和批发企业，全区监督检测要实现每年</w:t>
      </w:r>
      <w:r>
        <w:rPr>
          <w:rFonts w:eastAsia="仿宋_GB2312"/>
          <w:color w:val="000000"/>
          <w:kern w:val="2"/>
          <w:sz w:val="32"/>
          <w:szCs w:val="32"/>
        </w:rPr>
        <w:t>100%</w:t>
      </w:r>
      <w:r>
        <w:rPr>
          <w:rFonts w:hint="eastAsia" w:eastAsia="仿宋_GB2312"/>
          <w:color w:val="000000"/>
          <w:kern w:val="2"/>
          <w:sz w:val="32"/>
          <w:szCs w:val="32"/>
        </w:rPr>
        <w:t>全覆盖。到</w:t>
      </w:r>
      <w:r>
        <w:rPr>
          <w:rFonts w:eastAsia="仿宋_GB2312"/>
          <w:color w:val="000000"/>
          <w:kern w:val="2"/>
          <w:sz w:val="32"/>
          <w:szCs w:val="32"/>
        </w:rPr>
        <w:t>2020</w:t>
      </w:r>
      <w:r>
        <w:rPr>
          <w:rFonts w:hint="eastAsia" w:eastAsia="仿宋_GB2312"/>
          <w:color w:val="000000"/>
          <w:kern w:val="2"/>
          <w:sz w:val="32"/>
          <w:szCs w:val="32"/>
        </w:rPr>
        <w:t>年，车用油品、车用燃气和车用尿素质量抽检合格率达到</w:t>
      </w:r>
      <w:r>
        <w:rPr>
          <w:rFonts w:eastAsia="仿宋_GB2312"/>
          <w:color w:val="000000"/>
          <w:kern w:val="2"/>
          <w:sz w:val="32"/>
          <w:szCs w:val="32"/>
        </w:rPr>
        <w:t>95%</w:t>
      </w:r>
      <w:r>
        <w:rPr>
          <w:rFonts w:hint="eastAsia" w:eastAsia="仿宋_GB2312"/>
          <w:color w:val="000000"/>
          <w:kern w:val="2"/>
          <w:sz w:val="32"/>
          <w:szCs w:val="32"/>
        </w:rPr>
        <w:t>以上。</w:t>
      </w:r>
      <w:r>
        <w:rPr>
          <w:rFonts w:hint="eastAsia" w:eastAsia="楷体_GB2312"/>
          <w:color w:val="000000"/>
          <w:sz w:val="32"/>
          <w:szCs w:val="32"/>
        </w:rPr>
        <w:t>（经济发展局、</w:t>
      </w:r>
      <w:r>
        <w:rPr>
          <w:rFonts w:hint="eastAsia" w:eastAsia="楷体_GB2312"/>
          <w:color w:val="000000"/>
          <w:sz w:val="32"/>
          <w:szCs w:val="32"/>
          <w:lang w:eastAsia="zh-CN"/>
        </w:rPr>
        <w:t>市场监督管理局</w:t>
      </w:r>
      <w:r>
        <w:rPr>
          <w:rFonts w:hint="eastAsia" w:eastAsia="楷体_GB2312"/>
          <w:color w:val="000000"/>
          <w:sz w:val="32"/>
          <w:szCs w:val="32"/>
        </w:rPr>
        <w:t>、建设局牵头）</w:t>
      </w:r>
      <w:r>
        <w:rPr>
          <w:rFonts w:hint="eastAsia" w:eastAsia="仿宋_GB2312"/>
          <w:color w:val="000000"/>
          <w:kern w:val="2"/>
          <w:sz w:val="32"/>
          <w:szCs w:val="32"/>
        </w:rPr>
        <w:t>建立在用油品溯源机制，强化物流通道、施工工地等重点区域油品使用环节的质量检查，对使用不达标车用柴油（燃气）和尿素的，根据购油（气）发票和油品示踪剂追究销售者责任。将添加不合格尿素和油品、屏蔽和修改环保监控参数、屡罚屡犯的货车车主和司机，纳入失信联合惩戒对象名单。</w:t>
      </w:r>
      <w:r>
        <w:rPr>
          <w:rFonts w:hint="eastAsia" w:eastAsia="楷体_GB2312"/>
          <w:color w:val="000000"/>
          <w:sz w:val="32"/>
          <w:szCs w:val="32"/>
        </w:rPr>
        <w:t>（</w:t>
      </w:r>
      <w:r>
        <w:rPr>
          <w:rFonts w:hint="eastAsia" w:eastAsia="楷体_GB2312"/>
          <w:color w:val="000000"/>
          <w:sz w:val="32"/>
          <w:szCs w:val="32"/>
          <w:lang w:eastAsia="zh-CN"/>
        </w:rPr>
        <w:t>市场监督管理局</w:t>
      </w:r>
      <w:r>
        <w:rPr>
          <w:rFonts w:hint="eastAsia" w:eastAsia="楷体_GB2312"/>
          <w:color w:val="000000"/>
          <w:sz w:val="32"/>
          <w:szCs w:val="32"/>
        </w:rPr>
        <w:t>、环保局、建设局牵头）</w:t>
      </w:r>
      <w:r>
        <w:rPr>
          <w:rFonts w:eastAsia="仿宋_GB2312"/>
          <w:color w:val="000000"/>
          <w:kern w:val="2"/>
          <w:sz w:val="32"/>
          <w:szCs w:val="32"/>
        </w:rPr>
        <w:t>2019</w:t>
      </w:r>
      <w:r>
        <w:rPr>
          <w:rFonts w:hint="eastAsia" w:eastAsia="仿宋_GB2312"/>
          <w:color w:val="000000"/>
          <w:kern w:val="2"/>
          <w:sz w:val="32"/>
          <w:szCs w:val="32"/>
        </w:rPr>
        <w:t>年</w:t>
      </w:r>
      <w:r>
        <w:rPr>
          <w:rFonts w:eastAsia="仿宋_GB2312"/>
          <w:color w:val="000000"/>
          <w:kern w:val="2"/>
          <w:sz w:val="32"/>
          <w:szCs w:val="32"/>
        </w:rPr>
        <w:t>1</w:t>
      </w:r>
      <w:r>
        <w:rPr>
          <w:rFonts w:hint="eastAsia" w:eastAsia="仿宋_GB2312"/>
          <w:color w:val="000000"/>
          <w:kern w:val="2"/>
          <w:sz w:val="32"/>
          <w:szCs w:val="32"/>
        </w:rPr>
        <w:t>月</w:t>
      </w:r>
      <w:r>
        <w:rPr>
          <w:rFonts w:eastAsia="仿宋_GB2312"/>
          <w:color w:val="000000"/>
          <w:kern w:val="2"/>
          <w:sz w:val="32"/>
          <w:szCs w:val="32"/>
        </w:rPr>
        <w:t>1</w:t>
      </w:r>
      <w:r>
        <w:rPr>
          <w:rFonts w:hint="eastAsia" w:eastAsia="仿宋_GB2312"/>
          <w:color w:val="000000"/>
          <w:kern w:val="2"/>
          <w:sz w:val="32"/>
          <w:szCs w:val="32"/>
        </w:rPr>
        <w:t>日起，全面供应符合国六标准的车用汽柴油，停止销售普通柴油和低于国六标准的车用汽柴油，尽快实现车用柴油、普通柴油和部分船舶用油标准并轨。</w:t>
      </w:r>
      <w:r>
        <w:rPr>
          <w:rFonts w:hint="eastAsia" w:eastAsia="楷体_GB2312"/>
          <w:color w:val="000000"/>
          <w:sz w:val="32"/>
          <w:szCs w:val="32"/>
        </w:rPr>
        <w:t>（经济发展局、</w:t>
      </w:r>
      <w:r>
        <w:rPr>
          <w:rFonts w:hint="eastAsia" w:eastAsia="楷体_GB2312"/>
          <w:color w:val="000000"/>
          <w:sz w:val="32"/>
          <w:szCs w:val="32"/>
          <w:lang w:eastAsia="zh-CN"/>
        </w:rPr>
        <w:t>市场监督管理局</w:t>
      </w:r>
      <w:r>
        <w:rPr>
          <w:rFonts w:hint="eastAsia" w:eastAsia="楷体_GB2312"/>
          <w:color w:val="000000"/>
          <w:sz w:val="32"/>
          <w:szCs w:val="32"/>
        </w:rPr>
        <w:t>牵头）</w:t>
      </w:r>
      <w:r>
        <w:rPr>
          <w:rFonts w:hint="eastAsia" w:eastAsia="仿宋_GB2312"/>
          <w:color w:val="000000"/>
          <w:kern w:val="2"/>
          <w:sz w:val="32"/>
          <w:szCs w:val="32"/>
        </w:rPr>
        <w:t>实施柴油货车限行措施，加快划定高污染、高排放柴油货车限行区，优化柴油货车绕城通道，减少城市建成区机动车污染。</w:t>
      </w:r>
      <w:r>
        <w:rPr>
          <w:rFonts w:hint="eastAsia" w:eastAsia="楷体_GB2312"/>
          <w:color w:val="000000"/>
          <w:sz w:val="32"/>
          <w:szCs w:val="32"/>
        </w:rPr>
        <w:t>（高新区交警大队牵头）</w:t>
      </w:r>
    </w:p>
    <w:p>
      <w:pPr>
        <w:pStyle w:val="4"/>
        <w:spacing w:beforeAutospacing="0" w:afterAutospacing="0" w:line="560" w:lineRule="exact"/>
        <w:ind w:firstLine="645"/>
        <w:jc w:val="both"/>
        <w:rPr>
          <w:rFonts w:eastAsia="楷体_GB2312"/>
          <w:color w:val="000000"/>
          <w:sz w:val="32"/>
          <w:szCs w:val="32"/>
        </w:rPr>
      </w:pPr>
      <w:r>
        <w:rPr>
          <w:rFonts w:hint="eastAsia" w:eastAsia="仿宋_GB2312"/>
          <w:color w:val="000000"/>
          <w:kern w:val="2"/>
          <w:sz w:val="32"/>
          <w:szCs w:val="32"/>
        </w:rPr>
        <w:t>提高在用柴油货车联合执法检查能力，在柴油货车通行主要路口设置环保、交警联合执法检查点，</w:t>
      </w:r>
      <w:r>
        <w:rPr>
          <w:rFonts w:eastAsia="仿宋_GB2312"/>
          <w:color w:val="000000"/>
          <w:kern w:val="2"/>
          <w:sz w:val="32"/>
          <w:szCs w:val="32"/>
        </w:rPr>
        <w:t>2018</w:t>
      </w:r>
      <w:r>
        <w:rPr>
          <w:rFonts w:hint="eastAsia" w:eastAsia="仿宋_GB2312"/>
          <w:color w:val="000000"/>
          <w:kern w:val="2"/>
          <w:sz w:val="32"/>
          <w:szCs w:val="32"/>
        </w:rPr>
        <w:t>年年底前，全区至少设置</w:t>
      </w:r>
      <w:r>
        <w:rPr>
          <w:rFonts w:eastAsia="仿宋_GB2312"/>
          <w:color w:val="000000"/>
          <w:kern w:val="2"/>
          <w:sz w:val="32"/>
          <w:szCs w:val="32"/>
        </w:rPr>
        <w:t>1</w:t>
      </w:r>
      <w:r>
        <w:rPr>
          <w:rFonts w:hint="eastAsia" w:eastAsia="仿宋_GB2312"/>
          <w:color w:val="000000"/>
          <w:kern w:val="2"/>
          <w:sz w:val="32"/>
          <w:szCs w:val="32"/>
        </w:rPr>
        <w:t>处。</w:t>
      </w:r>
      <w:r>
        <w:rPr>
          <w:rFonts w:hint="eastAsia" w:eastAsia="楷体_GB2312"/>
          <w:color w:val="000000"/>
          <w:sz w:val="32"/>
          <w:szCs w:val="32"/>
        </w:rPr>
        <w:t>（环保局、高新区交警大队牵头）</w:t>
      </w:r>
      <w:r>
        <w:rPr>
          <w:rFonts w:hint="eastAsia" w:eastAsia="仿宋_GB2312"/>
          <w:color w:val="000000"/>
          <w:kern w:val="2"/>
          <w:sz w:val="32"/>
          <w:szCs w:val="32"/>
        </w:rPr>
        <w:t>增加冒黑烟抓拍系统数量，加密冒黑烟抓拍系统密度。</w:t>
      </w:r>
      <w:r>
        <w:rPr>
          <w:rFonts w:hint="eastAsia" w:eastAsia="楷体_GB2312"/>
          <w:color w:val="000000"/>
          <w:sz w:val="32"/>
          <w:szCs w:val="32"/>
        </w:rPr>
        <w:t>（高新区交警大队牵头）</w:t>
      </w:r>
      <w:r>
        <w:rPr>
          <w:rFonts w:eastAsia="仿宋_GB2312"/>
          <w:color w:val="000000"/>
          <w:kern w:val="2"/>
          <w:sz w:val="32"/>
          <w:szCs w:val="32"/>
        </w:rPr>
        <w:t>2018</w:t>
      </w:r>
      <w:r>
        <w:rPr>
          <w:rFonts w:hint="eastAsia" w:eastAsia="仿宋_GB2312"/>
          <w:color w:val="000000"/>
          <w:kern w:val="2"/>
          <w:sz w:val="32"/>
          <w:szCs w:val="32"/>
        </w:rPr>
        <w:t>年年底前，按照上级要求，配合建成国家－省－市联网的遥感监测网络和系统平台。配合构建重型柴油车车载诊断系统（</w:t>
      </w:r>
      <w:r>
        <w:rPr>
          <w:rFonts w:eastAsia="仿宋_GB2312"/>
          <w:color w:val="000000"/>
          <w:kern w:val="2"/>
          <w:sz w:val="32"/>
          <w:szCs w:val="32"/>
        </w:rPr>
        <w:t>OBD</w:t>
      </w:r>
      <w:r>
        <w:rPr>
          <w:rFonts w:hint="eastAsia" w:eastAsia="仿宋_GB2312"/>
          <w:color w:val="000000"/>
          <w:kern w:val="2"/>
          <w:sz w:val="32"/>
          <w:szCs w:val="32"/>
        </w:rPr>
        <w:t>）远程监控系统。</w:t>
      </w:r>
      <w:r>
        <w:rPr>
          <w:rFonts w:hint="eastAsia" w:eastAsia="楷体_GB2312"/>
          <w:color w:val="000000"/>
          <w:sz w:val="32"/>
          <w:szCs w:val="32"/>
        </w:rPr>
        <w:t>（环保局牵头）</w:t>
      </w:r>
    </w:p>
    <w:p>
      <w:pPr>
        <w:pStyle w:val="4"/>
        <w:spacing w:beforeAutospacing="0" w:afterAutospacing="0" w:line="560" w:lineRule="exact"/>
        <w:ind w:firstLine="645"/>
        <w:jc w:val="both"/>
        <w:rPr>
          <w:rFonts w:eastAsia="楷体_GB2312"/>
          <w:color w:val="000000"/>
          <w:sz w:val="32"/>
          <w:szCs w:val="32"/>
        </w:rPr>
      </w:pPr>
      <w:r>
        <w:rPr>
          <w:rFonts w:hint="eastAsia" w:eastAsia="仿宋_GB2312"/>
          <w:color w:val="000000"/>
          <w:kern w:val="2"/>
          <w:sz w:val="32"/>
          <w:szCs w:val="32"/>
        </w:rPr>
        <w:t>减少重污染期间柴油货车运输。钢铁、建材、焦化、有色、电力、化工、矿山等涉及大宗物料运输的重点用车企业及城市物流配送企业，应制定错峰运输方案。重污染期间，高排放、老旧柴油货车原则上禁止上路行驶。</w:t>
      </w:r>
      <w:r>
        <w:rPr>
          <w:rFonts w:hint="eastAsia" w:eastAsia="楷体_GB2312"/>
          <w:color w:val="000000"/>
          <w:sz w:val="32"/>
          <w:szCs w:val="32"/>
        </w:rPr>
        <w:t>（环保局、高新区交警大队牵头）</w:t>
      </w:r>
      <w:r>
        <w:rPr>
          <w:rFonts w:hint="eastAsia" w:eastAsia="仿宋_GB2312"/>
          <w:color w:val="000000"/>
          <w:kern w:val="2"/>
          <w:sz w:val="32"/>
          <w:szCs w:val="32"/>
        </w:rPr>
        <w:t>重污染天气期间，应组织公安交管、交通运输、环保、安全监管、城市综合执法等部门，在货车通行主要道路、卡口，开展高频次的综合执法检查。</w:t>
      </w:r>
      <w:r>
        <w:rPr>
          <w:rFonts w:hint="eastAsia" w:eastAsia="楷体_GB2312"/>
          <w:color w:val="000000"/>
          <w:sz w:val="32"/>
          <w:szCs w:val="32"/>
        </w:rPr>
        <w:t>（高新区交警大队牵头）</w:t>
      </w:r>
    </w:p>
    <w:p>
      <w:pPr>
        <w:pStyle w:val="4"/>
        <w:spacing w:beforeAutospacing="0" w:afterAutospacing="0" w:line="560" w:lineRule="exact"/>
        <w:ind w:firstLine="646"/>
        <w:jc w:val="both"/>
        <w:rPr>
          <w:rFonts w:eastAsia="仿宋_GB2312"/>
          <w:color w:val="000000"/>
          <w:kern w:val="2"/>
          <w:sz w:val="32"/>
          <w:szCs w:val="32"/>
        </w:rPr>
      </w:pPr>
      <w:r>
        <w:rPr>
          <w:rFonts w:eastAsia="仿宋_GB2312"/>
          <w:color w:val="000000"/>
          <w:kern w:val="2"/>
          <w:sz w:val="32"/>
          <w:szCs w:val="32"/>
        </w:rPr>
        <w:t xml:space="preserve">3. </w:t>
      </w:r>
      <w:r>
        <w:rPr>
          <w:rFonts w:hint="eastAsia" w:eastAsia="仿宋_GB2312"/>
          <w:color w:val="000000"/>
          <w:kern w:val="2"/>
          <w:sz w:val="32"/>
          <w:szCs w:val="32"/>
        </w:rPr>
        <w:t>着力提升公路运输效率。降低货车空驶率，利用</w:t>
      </w:r>
      <w:r>
        <w:rPr>
          <w:rFonts w:eastAsia="仿宋_GB2312"/>
          <w:color w:val="000000"/>
          <w:kern w:val="2"/>
          <w:sz w:val="32"/>
          <w:szCs w:val="32"/>
        </w:rPr>
        <w:t>“</w:t>
      </w:r>
      <w:r>
        <w:rPr>
          <w:rFonts w:hint="eastAsia" w:eastAsia="仿宋_GB2312"/>
          <w:color w:val="000000"/>
          <w:kern w:val="2"/>
          <w:sz w:val="32"/>
          <w:szCs w:val="32"/>
        </w:rPr>
        <w:t>互联网</w:t>
      </w:r>
      <w:r>
        <w:rPr>
          <w:rFonts w:eastAsia="仿宋_GB2312"/>
          <w:color w:val="000000"/>
          <w:kern w:val="2"/>
          <w:sz w:val="32"/>
          <w:szCs w:val="32"/>
        </w:rPr>
        <w:t>+”</w:t>
      </w:r>
      <w:r>
        <w:rPr>
          <w:rFonts w:hint="eastAsia" w:eastAsia="仿宋_GB2312"/>
          <w:color w:val="000000"/>
          <w:kern w:val="2"/>
          <w:sz w:val="32"/>
          <w:szCs w:val="32"/>
        </w:rPr>
        <w:t>高效物流等业态创新方式，探索实施我区道路货运无车承运人试点，促进供需匹配，逐步降低空驶率。推进全区交通运输物流公共信息平台建设，推动跨领域、跨运输方式、跨区域的物流信息互联互通。提高科学化管理水平，利用交通运输大数据流量分析等方法，设置科学合理的交通运输导向和方式。培养发展壮大现代物流运输主干企业，提升整体治理或换代的规模化效益。</w:t>
      </w:r>
      <w:r>
        <w:rPr>
          <w:rFonts w:hint="eastAsia" w:eastAsia="楷体_GB2312"/>
          <w:color w:val="000000"/>
          <w:sz w:val="32"/>
          <w:szCs w:val="32"/>
        </w:rPr>
        <w:t>（经济发展局、建设局牵头）</w:t>
      </w:r>
    </w:p>
    <w:p>
      <w:pPr>
        <w:pStyle w:val="4"/>
        <w:spacing w:beforeAutospacing="0" w:afterAutospacing="0" w:line="560" w:lineRule="exact"/>
        <w:ind w:firstLine="646"/>
        <w:jc w:val="both"/>
        <w:rPr>
          <w:rFonts w:eastAsia="楷体_GB2312"/>
          <w:color w:val="000000"/>
          <w:sz w:val="32"/>
          <w:szCs w:val="32"/>
        </w:rPr>
      </w:pPr>
      <w:r>
        <w:rPr>
          <w:rFonts w:hint="eastAsia" w:eastAsia="仿宋_GB2312"/>
          <w:color w:val="000000"/>
          <w:kern w:val="2"/>
          <w:sz w:val="32"/>
          <w:szCs w:val="32"/>
        </w:rPr>
        <w:t>加快推进城乡高效配送重点工程建设。优化城乡配送网络，发挥城乡配送骨干企业优势，整合商贸、交通、邮政、快递、供销等系统资源，综合利用商业、仓储、邮政、快递、社区服务、农村公共服务点等各类设施，形成（市级）远程调运中心、（区、县）区域分拨中心、（镇、街道）中心网点和（村、居委会）末端网点有机结合衔接的配送网络系统；合理确定配送车辆停靠卸货区域。在重点物流中心、配送站点、快递分拨中心及农产品市场周边兴建停车场，规划临时专用停车泊位，保障配货车辆停靠需求。对企业从事生活快消品、药品、鲜活农产品和冷藏保鲜产品等物品配送，以及使用节能与新能源车辆从事配送的，优先给予通行便利；引导骨干企业统筹配送供给资源，发展共同配送、统一配送、集中配送、夜间配送、分时段配送等多种形式的集约化配送。</w:t>
      </w:r>
      <w:r>
        <w:rPr>
          <w:rFonts w:hint="eastAsia" w:eastAsia="楷体_GB2312"/>
          <w:color w:val="000000"/>
          <w:sz w:val="32"/>
          <w:szCs w:val="32"/>
        </w:rPr>
        <w:t>（经济发展局牵头，高新区交警大队、建设局配合）</w:t>
      </w:r>
    </w:p>
    <w:p>
      <w:pPr>
        <w:pStyle w:val="4"/>
        <w:spacing w:beforeAutospacing="0" w:afterAutospacing="0" w:line="560" w:lineRule="exact"/>
        <w:ind w:firstLine="645"/>
        <w:jc w:val="both"/>
        <w:rPr>
          <w:rFonts w:eastAsia="楷体_GB2312"/>
          <w:color w:val="000000"/>
          <w:sz w:val="32"/>
          <w:szCs w:val="32"/>
        </w:rPr>
      </w:pPr>
      <w:r>
        <w:rPr>
          <w:rFonts w:eastAsia="仿宋_GB2312"/>
          <w:color w:val="000000"/>
          <w:kern w:val="2"/>
          <w:sz w:val="32"/>
          <w:szCs w:val="32"/>
        </w:rPr>
        <w:t xml:space="preserve">4. </w:t>
      </w:r>
      <w:r>
        <w:rPr>
          <w:rFonts w:hint="eastAsia" w:eastAsia="仿宋_GB2312"/>
          <w:color w:val="000000"/>
          <w:kern w:val="2"/>
          <w:sz w:val="32"/>
          <w:szCs w:val="32"/>
        </w:rPr>
        <w:t>着力实施公路运输绿色化改造。将绿色低碳新理念、新技术、新工艺、新材料融入交通基础设施的规划设计、施工建设、运营养护全过程，按要求开展交通基础设施绿色提升工程。</w:t>
      </w:r>
      <w:r>
        <w:rPr>
          <w:rFonts w:hint="eastAsia" w:eastAsia="楷体_GB2312"/>
          <w:color w:val="000000"/>
          <w:sz w:val="32"/>
          <w:szCs w:val="32"/>
        </w:rPr>
        <w:t>（建设局、经济发展局牵头）</w:t>
      </w:r>
      <w:r>
        <w:rPr>
          <w:rFonts w:hint="eastAsia" w:eastAsia="仿宋_GB2312"/>
          <w:color w:val="000000"/>
          <w:kern w:val="2"/>
          <w:sz w:val="32"/>
          <w:szCs w:val="32"/>
        </w:rPr>
        <w:t>促进交通用能清洁化，大力推广新能源、天然气（</w:t>
      </w:r>
      <w:r>
        <w:rPr>
          <w:rFonts w:eastAsia="仿宋_GB2312"/>
          <w:color w:val="000000"/>
          <w:kern w:val="2"/>
          <w:sz w:val="32"/>
          <w:szCs w:val="32"/>
        </w:rPr>
        <w:t>CNG/LNG</w:t>
      </w:r>
      <w:r>
        <w:rPr>
          <w:rFonts w:hint="eastAsia" w:eastAsia="仿宋_GB2312"/>
          <w:color w:val="000000"/>
          <w:kern w:val="2"/>
          <w:sz w:val="32"/>
          <w:szCs w:val="32"/>
        </w:rPr>
        <w:t>）等节能环保运输工具。凡是财政资金购买的公务用车及市政、环卫车辆优先采用新能源或清洁能源车，力争到</w:t>
      </w:r>
      <w:r>
        <w:rPr>
          <w:rFonts w:eastAsia="仿宋_GB2312"/>
          <w:color w:val="000000"/>
          <w:kern w:val="2"/>
          <w:sz w:val="32"/>
          <w:szCs w:val="32"/>
        </w:rPr>
        <w:t>2020</w:t>
      </w:r>
      <w:r>
        <w:rPr>
          <w:rFonts w:hint="eastAsia" w:eastAsia="仿宋_GB2312"/>
          <w:color w:val="000000"/>
          <w:kern w:val="2"/>
          <w:sz w:val="32"/>
          <w:szCs w:val="32"/>
        </w:rPr>
        <w:t>年实现全覆盖。</w:t>
      </w:r>
      <w:r>
        <w:rPr>
          <w:rFonts w:hint="eastAsia" w:eastAsia="楷体_GB2312"/>
          <w:color w:val="000000"/>
          <w:sz w:val="32"/>
          <w:szCs w:val="32"/>
        </w:rPr>
        <w:t>（建设局、工委管委会办公室、财政局牵头）</w:t>
      </w:r>
    </w:p>
    <w:p>
      <w:pPr>
        <w:spacing w:line="560" w:lineRule="exact"/>
        <w:ind w:firstLine="640" w:firstLineChars="200"/>
        <w:rPr>
          <w:rFonts w:eastAsia="楷体_GB2312"/>
          <w:color w:val="000000"/>
          <w:sz w:val="32"/>
          <w:szCs w:val="32"/>
        </w:rPr>
      </w:pPr>
      <w:r>
        <w:rPr>
          <w:rFonts w:hint="eastAsia" w:eastAsia="楷体_GB2312"/>
          <w:color w:val="000000"/>
          <w:sz w:val="32"/>
          <w:szCs w:val="32"/>
        </w:rPr>
        <w:t>（二）增加铁路运输量</w:t>
      </w:r>
    </w:p>
    <w:p>
      <w:pPr>
        <w:pStyle w:val="4"/>
        <w:spacing w:beforeAutospacing="0" w:afterAutospacing="0" w:line="560" w:lineRule="exact"/>
        <w:ind w:firstLine="645"/>
        <w:jc w:val="both"/>
        <w:rPr>
          <w:rFonts w:eastAsia="楷体_GB2312"/>
          <w:color w:val="000000"/>
          <w:sz w:val="32"/>
          <w:szCs w:val="32"/>
        </w:rPr>
      </w:pPr>
      <w:r>
        <w:rPr>
          <w:rFonts w:eastAsia="仿宋_GB2312"/>
          <w:color w:val="000000"/>
          <w:kern w:val="2"/>
          <w:sz w:val="32"/>
          <w:szCs w:val="32"/>
        </w:rPr>
        <w:t xml:space="preserve">1. </w:t>
      </w:r>
      <w:r>
        <w:rPr>
          <w:rFonts w:hint="eastAsia" w:eastAsia="仿宋_GB2312"/>
          <w:color w:val="000000"/>
          <w:kern w:val="2"/>
          <w:sz w:val="32"/>
          <w:szCs w:val="32"/>
        </w:rPr>
        <w:t>大力提高多式联运货物运输量。加快综合运输体系建设，发展智慧交通，破解运输壁垒，解决多种运输方式衔接不通畅、标准不统一、布局不合理、整体优势和组合效率得不到充分发挥等问题。认真贯彻落实交通运输部等</w:t>
      </w:r>
      <w:r>
        <w:rPr>
          <w:rFonts w:eastAsia="仿宋_GB2312"/>
          <w:color w:val="000000"/>
          <w:kern w:val="2"/>
          <w:sz w:val="32"/>
          <w:szCs w:val="32"/>
        </w:rPr>
        <w:t>18</w:t>
      </w:r>
      <w:r>
        <w:rPr>
          <w:rFonts w:hint="eastAsia" w:eastAsia="仿宋_GB2312"/>
          <w:color w:val="000000"/>
          <w:kern w:val="2"/>
          <w:sz w:val="32"/>
          <w:szCs w:val="32"/>
        </w:rPr>
        <w:t>部门联合发布的《关于进一步鼓励开展多式联运工作的通知》（交运发〔</w:t>
      </w:r>
      <w:r>
        <w:rPr>
          <w:rFonts w:eastAsia="仿宋_GB2312"/>
          <w:color w:val="000000"/>
          <w:kern w:val="2"/>
          <w:sz w:val="32"/>
          <w:szCs w:val="32"/>
        </w:rPr>
        <w:t>2016</w:t>
      </w:r>
      <w:r>
        <w:rPr>
          <w:rFonts w:hint="eastAsia" w:eastAsia="仿宋_GB2312"/>
          <w:color w:val="000000"/>
          <w:kern w:val="2"/>
          <w:sz w:val="32"/>
          <w:szCs w:val="32"/>
        </w:rPr>
        <w:t>〕</w:t>
      </w:r>
      <w:r>
        <w:rPr>
          <w:rFonts w:eastAsia="仿宋_GB2312"/>
          <w:color w:val="000000"/>
          <w:kern w:val="2"/>
          <w:sz w:val="32"/>
          <w:szCs w:val="32"/>
        </w:rPr>
        <w:t>232</w:t>
      </w:r>
      <w:r>
        <w:rPr>
          <w:rFonts w:hint="eastAsia" w:eastAsia="仿宋_GB2312"/>
          <w:color w:val="000000"/>
          <w:kern w:val="2"/>
          <w:sz w:val="32"/>
          <w:szCs w:val="32"/>
        </w:rPr>
        <w:t>号）文件中关于推动多式联运发展的有关要求，依托铁路物流基地、公路港，推进多式联运型和干支衔接型货运枢纽（物流园区）建设，推进多式联运示范工程建设。加快有利于多式联运发展的铁路物流基地等硬件设施建设。自</w:t>
      </w:r>
      <w:r>
        <w:rPr>
          <w:rFonts w:eastAsia="仿宋_GB2312"/>
          <w:color w:val="000000"/>
          <w:kern w:val="2"/>
          <w:sz w:val="32"/>
          <w:szCs w:val="32"/>
        </w:rPr>
        <w:t>2018</w:t>
      </w:r>
      <w:r>
        <w:rPr>
          <w:rFonts w:hint="eastAsia" w:eastAsia="仿宋_GB2312"/>
          <w:color w:val="000000"/>
          <w:kern w:val="2"/>
          <w:sz w:val="32"/>
          <w:szCs w:val="32"/>
        </w:rPr>
        <w:t>年起，多式联运货运量年均增长</w:t>
      </w:r>
      <w:r>
        <w:rPr>
          <w:rFonts w:eastAsia="仿宋_GB2312"/>
          <w:color w:val="000000"/>
          <w:kern w:val="2"/>
          <w:sz w:val="32"/>
          <w:szCs w:val="32"/>
        </w:rPr>
        <w:t>10%</w:t>
      </w:r>
      <w:r>
        <w:rPr>
          <w:rFonts w:hint="eastAsia" w:eastAsia="仿宋_GB2312"/>
          <w:color w:val="000000"/>
          <w:kern w:val="2"/>
          <w:sz w:val="32"/>
          <w:szCs w:val="32"/>
        </w:rPr>
        <w:t>。</w:t>
      </w:r>
      <w:r>
        <w:rPr>
          <w:rFonts w:hint="eastAsia" w:eastAsia="楷体_GB2312"/>
          <w:color w:val="000000"/>
          <w:sz w:val="32"/>
          <w:szCs w:val="32"/>
        </w:rPr>
        <w:t>（经济发展局、建设局牵头）</w:t>
      </w:r>
    </w:p>
    <w:p>
      <w:pPr>
        <w:pStyle w:val="4"/>
        <w:spacing w:beforeAutospacing="0" w:afterAutospacing="0" w:line="560" w:lineRule="exact"/>
        <w:ind w:firstLine="645"/>
        <w:jc w:val="both"/>
        <w:rPr>
          <w:rFonts w:eastAsia="楷体_GB2312"/>
          <w:color w:val="000000"/>
          <w:sz w:val="32"/>
          <w:szCs w:val="32"/>
        </w:rPr>
      </w:pPr>
      <w:r>
        <w:rPr>
          <w:rFonts w:eastAsia="仿宋_GB2312"/>
          <w:color w:val="000000"/>
          <w:kern w:val="2"/>
          <w:sz w:val="32"/>
          <w:szCs w:val="32"/>
        </w:rPr>
        <w:t xml:space="preserve">2. </w:t>
      </w:r>
      <w:r>
        <w:rPr>
          <w:rFonts w:hint="eastAsia" w:eastAsia="仿宋_GB2312"/>
          <w:color w:val="000000"/>
          <w:kern w:val="2"/>
          <w:sz w:val="32"/>
          <w:szCs w:val="32"/>
        </w:rPr>
        <w:t>大力提升铁路货运能力。加快推进淄博至东营铁路扩能改造工程，支持支线铁路及企业专用线建设，解决铁路运输的</w:t>
      </w:r>
      <w:r>
        <w:rPr>
          <w:rFonts w:eastAsia="仿宋_GB2312"/>
          <w:color w:val="000000"/>
          <w:kern w:val="2"/>
          <w:sz w:val="32"/>
          <w:szCs w:val="32"/>
        </w:rPr>
        <w:t>“</w:t>
      </w:r>
      <w:r>
        <w:rPr>
          <w:rFonts w:hint="eastAsia" w:eastAsia="仿宋_GB2312"/>
          <w:color w:val="000000"/>
          <w:kern w:val="2"/>
          <w:sz w:val="32"/>
          <w:szCs w:val="32"/>
        </w:rPr>
        <w:t>最后一公里</w:t>
      </w:r>
      <w:r>
        <w:rPr>
          <w:rFonts w:eastAsia="仿宋_GB2312"/>
          <w:color w:val="000000"/>
          <w:kern w:val="2"/>
          <w:sz w:val="32"/>
          <w:szCs w:val="32"/>
        </w:rPr>
        <w:t>”</w:t>
      </w:r>
      <w:r>
        <w:rPr>
          <w:rFonts w:hint="eastAsia" w:eastAsia="仿宋_GB2312"/>
          <w:color w:val="000000"/>
          <w:kern w:val="2"/>
          <w:sz w:val="32"/>
          <w:szCs w:val="32"/>
        </w:rPr>
        <w:t>问题。</w:t>
      </w:r>
      <w:r>
        <w:rPr>
          <w:rFonts w:hint="eastAsia" w:eastAsia="楷体_GB2312"/>
          <w:color w:val="000000"/>
          <w:sz w:val="32"/>
          <w:szCs w:val="32"/>
        </w:rPr>
        <w:t>（经济发展局牵头）</w:t>
      </w:r>
    </w:p>
    <w:p>
      <w:pPr>
        <w:pStyle w:val="4"/>
        <w:spacing w:beforeAutospacing="0" w:afterAutospacing="0" w:line="560" w:lineRule="exact"/>
        <w:ind w:firstLine="645"/>
        <w:jc w:val="both"/>
        <w:rPr>
          <w:rFonts w:eastAsia="微软雅黑"/>
          <w:color w:val="000000"/>
          <w:sz w:val="22"/>
          <w:szCs w:val="22"/>
        </w:rPr>
      </w:pPr>
      <w:r>
        <w:rPr>
          <w:rFonts w:hint="eastAsia" w:eastAsia="黑体"/>
          <w:color w:val="000000"/>
          <w:sz w:val="31"/>
          <w:szCs w:val="31"/>
        </w:rPr>
        <w:t>五、调整农业投入结构</w:t>
      </w:r>
    </w:p>
    <w:p>
      <w:pPr>
        <w:pStyle w:val="4"/>
        <w:spacing w:beforeAutospacing="0" w:afterAutospacing="0" w:line="560" w:lineRule="exact"/>
        <w:ind w:firstLine="645"/>
        <w:jc w:val="both"/>
        <w:rPr>
          <w:rFonts w:eastAsia="仿宋_GB2312"/>
          <w:color w:val="000000"/>
          <w:kern w:val="2"/>
          <w:sz w:val="32"/>
          <w:szCs w:val="32"/>
        </w:rPr>
      </w:pPr>
      <w:r>
        <w:rPr>
          <w:rFonts w:hint="eastAsia" w:eastAsia="仿宋_GB2312"/>
          <w:color w:val="000000"/>
          <w:kern w:val="2"/>
          <w:sz w:val="32"/>
          <w:szCs w:val="32"/>
        </w:rPr>
        <w:t>减少化肥农药使用量，提高化肥农药利用率，推进农业投入结构优化调整，同时确保化肥农药减量与农业产品产量质量不下降相统一。</w:t>
      </w:r>
    </w:p>
    <w:p>
      <w:pPr>
        <w:spacing w:line="560" w:lineRule="exact"/>
        <w:ind w:firstLine="640" w:firstLineChars="200"/>
        <w:rPr>
          <w:rFonts w:eastAsia="楷体_GB2312"/>
          <w:color w:val="000000"/>
          <w:sz w:val="32"/>
          <w:szCs w:val="32"/>
        </w:rPr>
      </w:pPr>
      <w:r>
        <w:rPr>
          <w:rFonts w:hint="eastAsia" w:eastAsia="楷体_GB2312"/>
          <w:color w:val="000000"/>
          <w:sz w:val="32"/>
          <w:szCs w:val="32"/>
        </w:rPr>
        <w:t>（一）减少化肥农药使用量</w:t>
      </w:r>
    </w:p>
    <w:p>
      <w:pPr>
        <w:pStyle w:val="4"/>
        <w:spacing w:beforeAutospacing="0" w:afterAutospacing="0" w:line="560" w:lineRule="exact"/>
        <w:ind w:firstLine="645"/>
        <w:jc w:val="both"/>
        <w:rPr>
          <w:rFonts w:eastAsia="微软雅黑"/>
          <w:color w:val="000000"/>
          <w:sz w:val="22"/>
          <w:szCs w:val="22"/>
        </w:rPr>
      </w:pPr>
      <w:r>
        <w:rPr>
          <w:rFonts w:eastAsia="微软雅黑"/>
          <w:color w:val="000000"/>
          <w:sz w:val="31"/>
          <w:szCs w:val="31"/>
        </w:rPr>
        <w:t xml:space="preserve">1. </w:t>
      </w:r>
      <w:r>
        <w:rPr>
          <w:rFonts w:hint="eastAsia" w:eastAsia="仿宋_GB2312"/>
          <w:color w:val="000000"/>
          <w:kern w:val="2"/>
          <w:sz w:val="32"/>
          <w:szCs w:val="32"/>
        </w:rPr>
        <w:t>着力降低化肥使用量。大力推广减肥增效技术，加快推广水肥一体化技术，通过配套建设滴灌设施，将施肥和灌溉同步进行、一体化管理，继续加大复合（混）肥、水溶性肥料、缓释肥施用比例。及时配合市里发布施肥配方。</w:t>
      </w:r>
      <w:r>
        <w:rPr>
          <w:rFonts w:hint="eastAsia" w:eastAsia="楷体_GB2312"/>
          <w:color w:val="000000"/>
          <w:sz w:val="32"/>
          <w:szCs w:val="32"/>
        </w:rPr>
        <w:t>（地方事业局牵头）</w:t>
      </w:r>
    </w:p>
    <w:p>
      <w:pPr>
        <w:pStyle w:val="4"/>
        <w:spacing w:beforeAutospacing="0" w:afterAutospacing="0" w:line="560" w:lineRule="exact"/>
        <w:ind w:firstLine="645"/>
        <w:jc w:val="both"/>
        <w:rPr>
          <w:rFonts w:eastAsia="微软雅黑"/>
          <w:color w:val="000000"/>
          <w:sz w:val="22"/>
          <w:szCs w:val="22"/>
        </w:rPr>
      </w:pPr>
      <w:r>
        <w:rPr>
          <w:rFonts w:eastAsia="仿宋_GB2312"/>
          <w:color w:val="000000"/>
          <w:kern w:val="2"/>
          <w:sz w:val="32"/>
          <w:szCs w:val="32"/>
        </w:rPr>
        <w:t xml:space="preserve">2. </w:t>
      </w:r>
      <w:r>
        <w:rPr>
          <w:rFonts w:hint="eastAsia" w:eastAsia="仿宋_GB2312"/>
          <w:color w:val="000000"/>
          <w:kern w:val="2"/>
          <w:sz w:val="32"/>
          <w:szCs w:val="32"/>
        </w:rPr>
        <w:t>着力降低农药使用量。积极推广绿色防控技术，以蔬菜、果树等经济作物为重点，运用理化诱控、生物防治、生态调控、科学用药等绿色防控措施，集成推广全程绿色防控技术模式。积极参加市里开展的绿色防控技术培训。</w:t>
      </w:r>
      <w:r>
        <w:rPr>
          <w:rFonts w:hint="eastAsia" w:eastAsia="楷体_GB2312"/>
          <w:color w:val="000000"/>
          <w:sz w:val="32"/>
          <w:szCs w:val="32"/>
        </w:rPr>
        <w:t>（地方事业局、科技局牵头）</w:t>
      </w:r>
    </w:p>
    <w:p>
      <w:pPr>
        <w:pStyle w:val="4"/>
        <w:spacing w:beforeAutospacing="0" w:afterAutospacing="0" w:line="560" w:lineRule="exact"/>
        <w:ind w:firstLine="645"/>
        <w:jc w:val="both"/>
        <w:rPr>
          <w:rFonts w:eastAsia="微软雅黑"/>
          <w:color w:val="000000"/>
          <w:sz w:val="22"/>
          <w:szCs w:val="22"/>
        </w:rPr>
      </w:pPr>
      <w:r>
        <w:rPr>
          <w:rFonts w:hint="eastAsia" w:eastAsia="仿宋_GB2312"/>
          <w:color w:val="000000"/>
          <w:kern w:val="2"/>
          <w:sz w:val="32"/>
          <w:szCs w:val="32"/>
        </w:rPr>
        <w:t>全面建立限制使用农药定点经营许可和实名购买制度，加大禁限用农药检查力度，杜绝国家禁用农药的生产、经营、使用。引导农民选用高效低毒农药和生物农药，做好高毒农药替代工作，减少高毒农药使用。</w:t>
      </w:r>
      <w:r>
        <w:rPr>
          <w:rFonts w:hint="eastAsia" w:eastAsia="楷体_GB2312"/>
          <w:color w:val="000000"/>
          <w:sz w:val="32"/>
          <w:szCs w:val="32"/>
        </w:rPr>
        <w:t>（地方事业局牵头）</w:t>
      </w:r>
    </w:p>
    <w:p>
      <w:pPr>
        <w:pStyle w:val="4"/>
        <w:spacing w:beforeAutospacing="0" w:afterAutospacing="0" w:line="560" w:lineRule="exact"/>
        <w:ind w:firstLine="645"/>
        <w:jc w:val="both"/>
        <w:rPr>
          <w:rFonts w:eastAsia="微软雅黑"/>
          <w:color w:val="000000"/>
          <w:sz w:val="22"/>
          <w:szCs w:val="22"/>
        </w:rPr>
      </w:pPr>
      <w:r>
        <w:rPr>
          <w:rFonts w:eastAsia="仿宋_GB2312"/>
          <w:color w:val="000000"/>
          <w:kern w:val="2"/>
          <w:sz w:val="32"/>
          <w:szCs w:val="32"/>
        </w:rPr>
        <w:t xml:space="preserve">3. </w:t>
      </w:r>
      <w:r>
        <w:rPr>
          <w:rFonts w:hint="eastAsia" w:eastAsia="仿宋_GB2312"/>
          <w:color w:val="000000"/>
          <w:kern w:val="2"/>
          <w:sz w:val="32"/>
          <w:szCs w:val="32"/>
        </w:rPr>
        <w:t>着力提高农膜回收率。加大推广使用</w:t>
      </w:r>
      <w:r>
        <w:rPr>
          <w:rFonts w:eastAsia="仿宋_GB2312"/>
          <w:color w:val="000000"/>
          <w:kern w:val="2"/>
          <w:sz w:val="32"/>
          <w:szCs w:val="32"/>
        </w:rPr>
        <w:t>0.01mm</w:t>
      </w:r>
      <w:r>
        <w:rPr>
          <w:rFonts w:hint="eastAsia" w:eastAsia="仿宋_GB2312"/>
          <w:color w:val="000000"/>
          <w:kern w:val="2"/>
          <w:sz w:val="32"/>
          <w:szCs w:val="32"/>
        </w:rPr>
        <w:t>以上标准地膜力度，配合市里探索农药包装废弃物回收与处置机制。</w:t>
      </w:r>
      <w:r>
        <w:rPr>
          <w:rFonts w:hint="eastAsia" w:eastAsia="楷体_GB2312"/>
          <w:color w:val="000000"/>
          <w:sz w:val="32"/>
          <w:szCs w:val="32"/>
        </w:rPr>
        <w:t>（地方事业局牵头）</w:t>
      </w:r>
    </w:p>
    <w:p>
      <w:pPr>
        <w:spacing w:line="560" w:lineRule="exact"/>
        <w:ind w:firstLine="640" w:firstLineChars="200"/>
        <w:rPr>
          <w:rFonts w:eastAsia="楷体_GB2312"/>
          <w:color w:val="000000"/>
          <w:sz w:val="32"/>
          <w:szCs w:val="32"/>
        </w:rPr>
      </w:pPr>
      <w:r>
        <w:rPr>
          <w:rFonts w:hint="eastAsia" w:eastAsia="楷体_GB2312"/>
          <w:color w:val="000000"/>
          <w:sz w:val="32"/>
          <w:szCs w:val="32"/>
        </w:rPr>
        <w:t>（二）做好畜禽粪污处理工作</w:t>
      </w:r>
    </w:p>
    <w:p>
      <w:pPr>
        <w:pStyle w:val="4"/>
        <w:spacing w:beforeAutospacing="0" w:afterAutospacing="0" w:line="560" w:lineRule="exact"/>
        <w:ind w:firstLine="645"/>
        <w:jc w:val="both"/>
        <w:rPr>
          <w:rFonts w:eastAsia="黑体"/>
          <w:color w:val="000000"/>
          <w:sz w:val="32"/>
          <w:szCs w:val="32"/>
        </w:rPr>
      </w:pPr>
      <w:r>
        <w:rPr>
          <w:rFonts w:hint="eastAsia" w:eastAsia="仿宋_GB2312"/>
          <w:color w:val="000000"/>
          <w:kern w:val="2"/>
          <w:sz w:val="32"/>
          <w:szCs w:val="32"/>
        </w:rPr>
        <w:t>到</w:t>
      </w:r>
      <w:r>
        <w:rPr>
          <w:rFonts w:eastAsia="仿宋_GB2312"/>
          <w:color w:val="000000"/>
          <w:kern w:val="2"/>
          <w:sz w:val="32"/>
          <w:szCs w:val="32"/>
        </w:rPr>
        <w:t>2020</w:t>
      </w:r>
      <w:r>
        <w:rPr>
          <w:rFonts w:hint="eastAsia" w:eastAsia="仿宋_GB2312"/>
          <w:color w:val="000000"/>
          <w:kern w:val="2"/>
          <w:sz w:val="32"/>
          <w:szCs w:val="32"/>
        </w:rPr>
        <w:t>年，高新区畜禽粪便处理利用率达到</w:t>
      </w:r>
      <w:r>
        <w:rPr>
          <w:rFonts w:eastAsia="仿宋_GB2312"/>
          <w:color w:val="000000"/>
          <w:kern w:val="2"/>
          <w:sz w:val="32"/>
          <w:szCs w:val="32"/>
        </w:rPr>
        <w:t>90%</w:t>
      </w:r>
      <w:r>
        <w:rPr>
          <w:rFonts w:hint="eastAsia" w:eastAsia="仿宋_GB2312"/>
          <w:color w:val="000000"/>
          <w:kern w:val="2"/>
          <w:sz w:val="32"/>
          <w:szCs w:val="32"/>
        </w:rPr>
        <w:t>以上，污水处理利用率达到</w:t>
      </w:r>
      <w:r>
        <w:rPr>
          <w:rFonts w:eastAsia="仿宋_GB2312"/>
          <w:color w:val="000000"/>
          <w:kern w:val="2"/>
          <w:sz w:val="32"/>
          <w:szCs w:val="32"/>
        </w:rPr>
        <w:t>65%</w:t>
      </w:r>
      <w:r>
        <w:rPr>
          <w:rFonts w:hint="eastAsia" w:eastAsia="仿宋_GB2312"/>
          <w:color w:val="000000"/>
          <w:kern w:val="2"/>
          <w:sz w:val="32"/>
          <w:szCs w:val="32"/>
        </w:rPr>
        <w:t>以上，粪污综合利用率达到</w:t>
      </w:r>
      <w:r>
        <w:rPr>
          <w:rFonts w:eastAsia="仿宋_GB2312"/>
          <w:color w:val="000000"/>
          <w:kern w:val="2"/>
          <w:sz w:val="32"/>
          <w:szCs w:val="32"/>
        </w:rPr>
        <w:t>81%</w:t>
      </w:r>
      <w:r>
        <w:rPr>
          <w:rFonts w:hint="eastAsia" w:eastAsia="仿宋_GB2312"/>
          <w:color w:val="000000"/>
          <w:kern w:val="2"/>
          <w:sz w:val="32"/>
          <w:szCs w:val="32"/>
        </w:rPr>
        <w:t>。</w:t>
      </w:r>
      <w:r>
        <w:rPr>
          <w:rFonts w:hint="eastAsia" w:eastAsia="楷体_GB2312"/>
          <w:color w:val="000000"/>
          <w:sz w:val="32"/>
          <w:szCs w:val="32"/>
        </w:rPr>
        <w:t>（地方事业局牵头）</w:t>
      </w:r>
    </w:p>
    <w:p>
      <w:pPr>
        <w:pStyle w:val="4"/>
        <w:spacing w:beforeAutospacing="0" w:afterAutospacing="0" w:line="560" w:lineRule="exact"/>
        <w:ind w:firstLine="646"/>
        <w:jc w:val="both"/>
        <w:rPr>
          <w:rFonts w:eastAsia="黑体"/>
          <w:color w:val="000000"/>
          <w:sz w:val="32"/>
          <w:szCs w:val="32"/>
        </w:rPr>
      </w:pPr>
      <w:r>
        <w:rPr>
          <w:rFonts w:hint="eastAsia" w:eastAsia="黑体"/>
          <w:color w:val="000000"/>
          <w:sz w:val="32"/>
          <w:szCs w:val="32"/>
        </w:rPr>
        <w:t>六、保障措施</w:t>
      </w:r>
    </w:p>
    <w:p>
      <w:pPr>
        <w:pStyle w:val="4"/>
        <w:spacing w:beforeAutospacing="0" w:afterAutospacing="0" w:line="560" w:lineRule="exact"/>
        <w:ind w:firstLine="646"/>
        <w:jc w:val="both"/>
        <w:rPr>
          <w:rFonts w:eastAsia="仿宋_GB2312"/>
          <w:color w:val="000000"/>
          <w:kern w:val="2"/>
          <w:sz w:val="32"/>
          <w:szCs w:val="32"/>
        </w:rPr>
      </w:pPr>
      <w:r>
        <w:rPr>
          <w:rFonts w:hint="eastAsia" w:eastAsia="楷体_GB2312"/>
          <w:color w:val="000000"/>
          <w:kern w:val="2"/>
          <w:sz w:val="32"/>
          <w:szCs w:val="32"/>
        </w:rPr>
        <w:t>（一）加强组织领导。</w:t>
      </w:r>
      <w:r>
        <w:rPr>
          <w:rFonts w:hint="eastAsia" w:eastAsia="仿宋_GB2312"/>
          <w:color w:val="000000"/>
          <w:kern w:val="2"/>
          <w:sz w:val="32"/>
          <w:szCs w:val="32"/>
        </w:rPr>
        <w:t>各部门要切实把思想和行动统一到工委、管委会的工作安排上来，把推进</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工作摆在重要位置，主要负责同志亲自抓，分管负责同志靠上抓，层层抓落实，动员社会各方力量，群策群力，合力推进。在淄博高新区环境保护工作委员会领导下，由环保局、经济发展局、建设局、地方事业局、高新区交警大队等部门抽调人员组成淄博高新区推进</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工作专班，负责统筹推进</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工作。各相关部门要按照本方案的要求，细化各项任务到年度、到行业、到企业、到岗位。各相关部门要加强部门协作，牵头部门要做好工作的指导、调度和协调，对未按时间节点和要求完成任务的进行督导；配合部门要对照职责，明确任务分工和要求，及时提供相关资料、数据、工作条件。</w:t>
      </w:r>
    </w:p>
    <w:p>
      <w:pPr>
        <w:pStyle w:val="4"/>
        <w:spacing w:beforeAutospacing="0" w:afterAutospacing="0" w:line="560" w:lineRule="exact"/>
        <w:ind w:firstLine="646"/>
        <w:jc w:val="both"/>
        <w:rPr>
          <w:rFonts w:eastAsia="楷体_GB2312"/>
          <w:color w:val="000000"/>
          <w:sz w:val="32"/>
          <w:szCs w:val="32"/>
        </w:rPr>
      </w:pPr>
      <w:r>
        <w:rPr>
          <w:rFonts w:hint="eastAsia" w:eastAsia="楷体_GB2312"/>
          <w:color w:val="000000"/>
          <w:kern w:val="2"/>
          <w:sz w:val="32"/>
          <w:szCs w:val="32"/>
        </w:rPr>
        <w:t>（二）健全经济政策。</w:t>
      </w:r>
      <w:r>
        <w:rPr>
          <w:rFonts w:hint="eastAsia" w:eastAsia="仿宋_GB2312"/>
          <w:color w:val="000000"/>
          <w:kern w:val="2"/>
          <w:sz w:val="32"/>
          <w:szCs w:val="32"/>
        </w:rPr>
        <w:t>加大财政投入力度，资金投入向</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行动倾斜，坚持投入同任务相匹配。加大财政补贴力度，积极争取清洁取暖等重点项目的上级财政支持。对符合国家规定的可再生能源发电项目，及时申报可再生能源电价附加资金补助目录。严格落实铁路运输服务增值税税率调整等财税政策及储气调峰设施建设的扶持政策。落实国家老旧公路运输车辆淘汰、新能源汽车推广等财政补贴政策。结合果菜茶有机肥替代化肥试点、耕地质量提升等项目，对项目区内施用有机肥、配方肥、高效缓释肥料，对提供科学施肥服务，以及对使用低毒生物农药给予补助。严格落实农业机械购置补贴政策，对秸秆回收、水肥一体化、残膜回收等高效机具，畜禽养殖废弃物资源化利用设备等实施敞开补贴。落实助力绿色产业发展的财税政策。严格落实国家风电、太阳能光伏发电、生物质发电等新能源和可再生能源发电等领域的税费政策。按照国家规定，落实对物流企业自有（包括自用和出租）、承租的大宗商品仓储用地税收优惠政策。严格执行国家关于新能源汽车税收优惠政策。发挥开发性和政策性金融机构的资金引导作用，实施差别化信贷政策，加大对传统产业转型升级、节能环保产业、清洁采暖等领域的信贷投放。继续对铁合金等高污染、高耗能、产能严重过剩行业执行差别电价、惩罚性电价政策；加大对水泥、钢铁企业阶梯电价执行力度，进一步提高加价标准；将阶梯电价政策实施范围扩大至炼化、焦化两大行业；配合建立健全非居民用水超定额（计划）累进加价制度，通过差别化能源资源价格政策，倒逼企业淘汰、升级改造，推进资源能源全面节约。配合完善天然气阶梯价格政策，配合探索建立季节性差价、峰谷价格、可中断价格等差别价格体系。配合完善居民采暖用气、用电定价机制和补贴政策。严格落实市场化为主体的铁路货运定价机制，减少中间环节，推动铁路货物运输</w:t>
      </w:r>
      <w:r>
        <w:rPr>
          <w:rFonts w:eastAsia="仿宋_GB2312"/>
          <w:color w:val="000000"/>
          <w:kern w:val="2"/>
          <w:sz w:val="32"/>
          <w:szCs w:val="32"/>
        </w:rPr>
        <w:t>“</w:t>
      </w:r>
      <w:r>
        <w:rPr>
          <w:rFonts w:hint="eastAsia" w:eastAsia="仿宋_GB2312"/>
          <w:color w:val="000000"/>
          <w:kern w:val="2"/>
          <w:sz w:val="32"/>
          <w:szCs w:val="32"/>
        </w:rPr>
        <w:t>一口价</w:t>
      </w:r>
      <w:r>
        <w:rPr>
          <w:rFonts w:eastAsia="仿宋_GB2312"/>
          <w:color w:val="000000"/>
          <w:kern w:val="2"/>
          <w:sz w:val="32"/>
          <w:szCs w:val="32"/>
        </w:rPr>
        <w:t>”</w:t>
      </w:r>
      <w:r>
        <w:rPr>
          <w:rFonts w:hint="eastAsia" w:eastAsia="仿宋_GB2312"/>
          <w:color w:val="000000"/>
          <w:kern w:val="2"/>
          <w:sz w:val="32"/>
          <w:szCs w:val="32"/>
        </w:rPr>
        <w:t>服务制度。配合完善秸秆等生物质资源消纳处置价格补偿机制，秸秆发电电量按生物质电价执行。</w:t>
      </w:r>
      <w:r>
        <w:rPr>
          <w:rFonts w:hint="eastAsia" w:eastAsia="楷体_GB2312"/>
          <w:color w:val="000000"/>
          <w:sz w:val="32"/>
          <w:szCs w:val="32"/>
        </w:rPr>
        <w:t>（财政局、经济发展局、地方事业局牵头）</w:t>
      </w:r>
    </w:p>
    <w:p>
      <w:pPr>
        <w:pStyle w:val="4"/>
        <w:spacing w:beforeAutospacing="0" w:afterAutospacing="0" w:line="560" w:lineRule="exact"/>
        <w:ind w:firstLine="646"/>
        <w:jc w:val="both"/>
        <w:rPr>
          <w:rFonts w:eastAsia="楷体_GB2312"/>
          <w:color w:val="000000"/>
          <w:sz w:val="32"/>
          <w:szCs w:val="32"/>
        </w:rPr>
      </w:pPr>
      <w:r>
        <w:rPr>
          <w:rFonts w:hint="eastAsia" w:eastAsia="楷体_GB2312"/>
          <w:color w:val="000000"/>
          <w:kern w:val="2"/>
          <w:sz w:val="32"/>
          <w:szCs w:val="32"/>
        </w:rPr>
        <w:t>（三）加大科技支撑。</w:t>
      </w:r>
      <w:r>
        <w:rPr>
          <w:rFonts w:hint="eastAsia" w:eastAsia="仿宋_GB2312"/>
          <w:color w:val="000000"/>
          <w:kern w:val="2"/>
          <w:sz w:val="32"/>
          <w:szCs w:val="32"/>
        </w:rPr>
        <w:t>加强规划引导和行业准入（规范）管理，推广先进适用技术，引导企业进行技术改造升级，降低产能改造成本，提高运营效率。严格落实国家、省健全完善的新能源和可再生能源产品技术标准，引领和规范相关领域生产和消费。发挥市场配置资源的决定性作用，采取差别化的市场准入标准，配合逐步建立产品和技术标准循环递进机制。配合建立完善的新能源和可再生能源产业监测体系，形成有效的质量监督机制。鼓励充电设施关键技术研发，支持高校、科研院所及企业加强对新型充电设施及装备技术、前瞻性技术的研发，加快突破重大关键技术。积极争取国家科技计划相关专项支持。加强货物运输多式联运技术研究。成立化肥农药减量专家指导组，开展技术指导服务。配合推动建立全市肥效监测网络，完善肥料使用调查统计制度，及时、准确掌握肥料使用和效应评价数据。重点培养种粮大户、病虫防治专业化服务组织技术骨干，提高科学用药水平。</w:t>
      </w:r>
      <w:r>
        <w:rPr>
          <w:rFonts w:hint="eastAsia" w:eastAsia="楷体_GB2312"/>
          <w:color w:val="000000"/>
          <w:sz w:val="32"/>
          <w:szCs w:val="32"/>
        </w:rPr>
        <w:t>（科技局、经济发展局、</w:t>
      </w:r>
      <w:r>
        <w:rPr>
          <w:rFonts w:hint="eastAsia" w:eastAsia="楷体_GB2312"/>
          <w:color w:val="000000"/>
          <w:sz w:val="32"/>
          <w:szCs w:val="32"/>
          <w:lang w:eastAsia="zh-CN"/>
        </w:rPr>
        <w:t>市场监督管理局</w:t>
      </w:r>
      <w:r>
        <w:rPr>
          <w:rFonts w:hint="eastAsia" w:eastAsia="楷体_GB2312"/>
          <w:color w:val="000000"/>
          <w:sz w:val="32"/>
          <w:szCs w:val="32"/>
        </w:rPr>
        <w:t>、地方事业局、环保局牵头）</w:t>
      </w:r>
    </w:p>
    <w:p>
      <w:pPr>
        <w:pStyle w:val="4"/>
        <w:spacing w:beforeAutospacing="0" w:afterAutospacing="0" w:line="560" w:lineRule="exact"/>
        <w:ind w:firstLine="646"/>
        <w:jc w:val="both"/>
        <w:rPr>
          <w:rFonts w:eastAsia="楷体_GB2312"/>
          <w:color w:val="000000"/>
          <w:sz w:val="32"/>
          <w:szCs w:val="32"/>
        </w:rPr>
      </w:pPr>
      <w:r>
        <w:rPr>
          <w:rFonts w:hint="eastAsia" w:eastAsia="楷体_GB2312"/>
          <w:color w:val="000000"/>
          <w:kern w:val="2"/>
          <w:sz w:val="32"/>
          <w:szCs w:val="32"/>
        </w:rPr>
        <w:t>（四）加强宣传引导。</w:t>
      </w:r>
      <w:r>
        <w:rPr>
          <w:rFonts w:hint="eastAsia" w:eastAsia="仿宋_GB2312"/>
          <w:color w:val="000000"/>
          <w:kern w:val="2"/>
          <w:sz w:val="32"/>
          <w:szCs w:val="32"/>
        </w:rPr>
        <w:t>通过报刊、广播、电视、新媒体等载体，深入宣传</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的重大意义、重大政策、重大行动、重大工程，及时报道新进展、新成效、新经验，调动全社会参与支持</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的积极性。强化信息公开，各相关部门要定期在网站等公布</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工作任务开展情况，接受社会监督。对淘汰落后产能和化解过剩产能的企业和职工，对压缩道路运输经营的企业和车主，对城乡结合部和农村地区散煤用户等开展精准定位宣传，普及相关政策法规，争取企业和群众对结构调整的理解和支持。加强生态环保科普宣传，不断增加人民群众生态环保意识。配合上级部门开展科学施用化肥农药的主题宣传活动，大力宣传科学施肥知识、绿色防控技术和科学用药知识，增强农民科学用肥意识和安全用药意识。普及节能低碳环保知识和方法，宣传推广节能低碳环保产品，引导绿色消费，倡导绿色低碳出行。开展节能减排、环境保护全民宣传行动，推动全社会形成文明、节约、绿色、低碳的生产方式、消费模式和生活习惯。开展党政领导干部、企业家各层面的专题培训，进一步强化</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的意识和使命担当。</w:t>
      </w:r>
      <w:r>
        <w:rPr>
          <w:rFonts w:hint="eastAsia" w:eastAsia="楷体_GB2312"/>
          <w:color w:val="000000"/>
          <w:sz w:val="32"/>
          <w:szCs w:val="32"/>
        </w:rPr>
        <w:t>（宣传新闻中心、环保局牵头）</w:t>
      </w:r>
    </w:p>
    <w:p>
      <w:pPr>
        <w:pStyle w:val="4"/>
        <w:spacing w:beforeAutospacing="0" w:afterAutospacing="0" w:line="560" w:lineRule="exact"/>
        <w:ind w:firstLine="646"/>
        <w:jc w:val="both"/>
        <w:rPr>
          <w:rFonts w:eastAsia="楷体_GB2312"/>
          <w:color w:val="000000"/>
          <w:sz w:val="32"/>
          <w:szCs w:val="32"/>
        </w:rPr>
      </w:pPr>
      <w:r>
        <w:rPr>
          <w:rFonts w:hint="eastAsia" w:eastAsia="楷体_GB2312"/>
          <w:color w:val="000000"/>
          <w:kern w:val="2"/>
          <w:sz w:val="32"/>
          <w:szCs w:val="32"/>
        </w:rPr>
        <w:t>（五）严格奖惩评估。</w:t>
      </w:r>
      <w:r>
        <w:rPr>
          <w:rFonts w:hint="eastAsia" w:eastAsia="仿宋_GB2312"/>
          <w:color w:val="000000"/>
          <w:kern w:val="2"/>
          <w:sz w:val="32"/>
          <w:szCs w:val="32"/>
        </w:rPr>
        <w:t>根据本方案目标任务，参照上级要求，制定评估实施细则，配合建立加强污染源头防治推进</w:t>
      </w:r>
      <w:r>
        <w:rPr>
          <w:rFonts w:eastAsia="仿宋_GB2312"/>
          <w:color w:val="000000"/>
          <w:kern w:val="2"/>
          <w:sz w:val="32"/>
          <w:szCs w:val="32"/>
        </w:rPr>
        <w:t>“</w:t>
      </w:r>
      <w:r>
        <w:rPr>
          <w:rFonts w:hint="eastAsia" w:eastAsia="仿宋_GB2312"/>
          <w:color w:val="000000"/>
          <w:kern w:val="2"/>
          <w:sz w:val="32"/>
          <w:szCs w:val="32"/>
        </w:rPr>
        <w:t>四减四增</w:t>
      </w:r>
      <w:r>
        <w:rPr>
          <w:rFonts w:eastAsia="仿宋_GB2312"/>
          <w:color w:val="000000"/>
          <w:kern w:val="2"/>
          <w:sz w:val="32"/>
          <w:szCs w:val="32"/>
        </w:rPr>
        <w:t>”</w:t>
      </w:r>
      <w:r>
        <w:rPr>
          <w:rFonts w:hint="eastAsia" w:eastAsia="仿宋_GB2312"/>
          <w:color w:val="000000"/>
          <w:kern w:val="2"/>
          <w:sz w:val="32"/>
          <w:szCs w:val="32"/>
        </w:rPr>
        <w:t>监测指标体系，加强对本方案实施的动态评估。对本方案实施情况，工委、管委会每年组织开展一次评估。</w:t>
      </w:r>
      <w:r>
        <w:rPr>
          <w:rFonts w:eastAsia="仿宋_GB2312"/>
          <w:color w:val="000000"/>
          <w:kern w:val="2"/>
          <w:sz w:val="32"/>
          <w:szCs w:val="32"/>
        </w:rPr>
        <w:t>2021</w:t>
      </w:r>
      <w:r>
        <w:rPr>
          <w:rFonts w:hint="eastAsia" w:eastAsia="仿宋_GB2312"/>
          <w:color w:val="000000"/>
          <w:kern w:val="2"/>
          <w:sz w:val="32"/>
          <w:szCs w:val="32"/>
        </w:rPr>
        <w:t>年，工委、管委会对方案完成情况进行全面评估。评估结果作为各相关部门党政领导班子和领导干部政绩考核的重要参考，并以适当形式向社会公布。对评估考核实绩突出的，予以表扬；对工作拖沓、履职不力、逾期未完成规定任务的，采取通报批评、公开约谈、媒体曝光等措施，督促问题整改，造成不良影响的要按照有关规定启动问责程序。</w:t>
      </w:r>
      <w:r>
        <w:rPr>
          <w:rFonts w:hint="eastAsia" w:eastAsia="楷体_GB2312"/>
          <w:color w:val="000000"/>
          <w:sz w:val="32"/>
          <w:szCs w:val="32"/>
        </w:rPr>
        <w:t>（环保局、经济发展局牵头）</w:t>
      </w:r>
    </w:p>
    <w:p>
      <w:pPr>
        <w:spacing w:line="560" w:lineRule="exact"/>
        <w:rPr>
          <w:rFonts w:eastAsia="仿宋"/>
          <w:color w:val="000000"/>
          <w:sz w:val="32"/>
          <w:szCs w:val="32"/>
        </w:rPr>
      </w:pPr>
    </w:p>
    <w:p>
      <w:pPr>
        <w:spacing w:line="560" w:lineRule="exact"/>
        <w:rPr>
          <w:rFonts w:eastAsia="方正小标宋简体"/>
          <w:color w:val="000000"/>
          <w:sz w:val="44"/>
          <w:szCs w:val="44"/>
        </w:rPr>
      </w:pPr>
    </w:p>
    <w:p>
      <w:pPr>
        <w:spacing w:line="560" w:lineRule="exact"/>
        <w:rPr>
          <w:rFonts w:eastAsia="方正小标宋简体"/>
          <w:color w:val="000000"/>
          <w:sz w:val="44"/>
          <w:szCs w:val="44"/>
        </w:rPr>
      </w:pPr>
    </w:p>
    <w:p>
      <w:pPr>
        <w:rPr>
          <w:color w:val="000000"/>
        </w:rPr>
      </w:pPr>
    </w:p>
    <w:p>
      <w:pPr>
        <w:rPr>
          <w:color w:val="000000"/>
        </w:rPr>
      </w:pPr>
    </w:p>
    <w:sectPr>
      <w:footerReference r:id="rId3" w:type="default"/>
      <w:footerReference r:id="rId4" w:type="even"/>
      <w:pgSz w:w="11906" w:h="16838"/>
      <w:pgMar w:top="2155" w:right="1474" w:bottom="1928" w:left="1588" w:header="851" w:footer="1531"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ascii="宋体"/>
        <w:sz w:val="28"/>
        <w:szCs w:val="28"/>
      </w:rPr>
    </w:pPr>
    <w:r>
      <w:rPr>
        <w:rStyle w:val="6"/>
        <w:rFonts w:ascii="宋体" w:hAnsi="宋体"/>
        <w:sz w:val="28"/>
        <w:szCs w:val="28"/>
      </w:rPr>
      <w:fldChar w:fldCharType="begin"/>
    </w:r>
    <w:r>
      <w:rPr>
        <w:rStyle w:val="6"/>
        <w:rFonts w:ascii="宋体" w:hAnsi="宋体"/>
        <w:sz w:val="28"/>
        <w:szCs w:val="28"/>
      </w:rPr>
      <w:instrText xml:space="preserve">PAGE  </w:instrText>
    </w:r>
    <w:r>
      <w:rPr>
        <w:rStyle w:val="6"/>
        <w:rFonts w:ascii="宋体" w:hAnsi="宋体"/>
        <w:sz w:val="28"/>
        <w:szCs w:val="28"/>
      </w:rPr>
      <w:fldChar w:fldCharType="separate"/>
    </w:r>
    <w:r>
      <w:rPr>
        <w:rStyle w:val="6"/>
        <w:rFonts w:ascii="宋体" w:hAnsi="宋体"/>
        <w:sz w:val="28"/>
        <w:szCs w:val="28"/>
      </w:rPr>
      <w:t>- 4 -</w:t>
    </w:r>
    <w:r>
      <w:rPr>
        <w:rStyle w:val="6"/>
        <w:rFonts w:ascii="宋体" w:hAnsi="宋体"/>
        <w:sz w:val="28"/>
        <w:szCs w:val="28"/>
      </w:rPr>
      <w:fldChar w:fldCharType="end"/>
    </w:r>
  </w:p>
  <w:p>
    <w:pPr>
      <w:pStyle w:val="2"/>
      <w:ind w:right="360" w:firstLine="360"/>
      <w:rPr>
        <w:rFonts w:asci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6F280E0E"/>
    <w:rsid w:val="001B5B0E"/>
    <w:rsid w:val="001E02CB"/>
    <w:rsid w:val="002B5666"/>
    <w:rsid w:val="00346B72"/>
    <w:rsid w:val="005322D6"/>
    <w:rsid w:val="006C3C7E"/>
    <w:rsid w:val="00CF7237"/>
    <w:rsid w:val="00E32AFA"/>
    <w:rsid w:val="00E83286"/>
    <w:rsid w:val="00EB7B8F"/>
    <w:rsid w:val="00EC6026"/>
    <w:rsid w:val="0C53762B"/>
    <w:rsid w:val="162913C7"/>
    <w:rsid w:val="1C8520C9"/>
    <w:rsid w:val="1DBC3650"/>
    <w:rsid w:val="32997A9B"/>
    <w:rsid w:val="45880223"/>
    <w:rsid w:val="496D20C6"/>
    <w:rsid w:val="4F6054F1"/>
    <w:rsid w:val="5011167D"/>
    <w:rsid w:val="6F280E0E"/>
    <w:rsid w:val="7E1F15F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99"/>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rPr>
  </w:style>
  <w:style w:type="paragraph" w:styleId="3">
    <w:name w:val="header"/>
    <w:basedOn w:val="1"/>
    <w:link w:val="10"/>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spacing w:beforeAutospacing="1" w:afterAutospacing="1"/>
      <w:jc w:val="left"/>
    </w:pPr>
    <w:rPr>
      <w:kern w:val="0"/>
      <w:sz w:val="24"/>
    </w:rPr>
  </w:style>
  <w:style w:type="character" w:styleId="6">
    <w:name w:val="page number"/>
    <w:basedOn w:val="5"/>
    <w:qFormat/>
    <w:uiPriority w:val="99"/>
    <w:rPr>
      <w:rFonts w:cs="Times New Roman"/>
    </w:rPr>
  </w:style>
  <w:style w:type="table" w:styleId="8">
    <w:name w:val="Table Grid"/>
    <w:basedOn w:val="7"/>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9">
    <w:name w:val="Footer Char"/>
    <w:basedOn w:val="5"/>
    <w:link w:val="2"/>
    <w:semiHidden/>
    <w:qFormat/>
    <w:uiPriority w:val="99"/>
    <w:rPr>
      <w:rFonts w:ascii="Times New Roman" w:hAnsi="Times New Roman" w:eastAsia="宋体"/>
      <w:sz w:val="18"/>
      <w:szCs w:val="18"/>
    </w:rPr>
  </w:style>
  <w:style w:type="character" w:customStyle="1" w:styleId="10">
    <w:name w:val="Header Char"/>
    <w:basedOn w:val="5"/>
    <w:link w:val="3"/>
    <w:semiHidden/>
    <w:qFormat/>
    <w:uiPriority w:val="99"/>
    <w:rPr>
      <w:rFonts w:ascii="Times New Roman" w:hAnsi="Times New Roman" w:eastAsia="宋体"/>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25</Pages>
  <Words>2147</Words>
  <Characters>12242</Characters>
  <Lines>0</Lines>
  <Paragraphs>0</Paragraphs>
  <TotalTime>2</TotalTime>
  <ScaleCrop>false</ScaleCrop>
  <LinksUpToDate>false</LinksUpToDate>
  <CharactersWithSpaces>0</CharactersWithSpaces>
  <Application>WPS Office_11.1.0.8213_F1E327BC-269C-435d-A152-05C5408002CA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2019-02-21T03:25:00Z</dcterms:created>
  <dc:creator>江秀霞</dc:creator>
  <cp:lastModifiedBy>江秀霞</cp:lastModifiedBy>
  <cp:lastPrinted>2019-02-25T06:58:00Z</cp:lastPrinted>
  <dcterms:modified xsi:type="dcterms:W3CDTF">2019-02-28T01:44:12Z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ies>
</file>