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napToGrid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eastAsia="方正小标宋简体" w:cs="Times New Roman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淄</w:t>
      </w:r>
      <w:bookmarkStart w:id="0" w:name="_GoBack"/>
      <w:bookmarkEnd w:id="0"/>
      <w:r>
        <w:rPr>
          <w:rFonts w:hint="eastAsia" w:eastAsia="方正小标宋简体" w:cs="Times New Roman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博高新区</w:t>
      </w:r>
      <w:r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关于赋能实体经济支持项目投资发展的若干意见（征求意见稿）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</w:pP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为深入贯彻国家、省、市关于大力扶持实体经济做大做强的决策部署，全面落实推动高质量发展的工作要求，立足高新区发展实际，以科技赋能工具激活项目投资活力，精准扶持高新技术企业实体项目落地建设与发展壮大，加速科技成果向实体经济转化，以项目投资牵引产业能级跃升，助力区域实体经济提质增效、做大做强，制定本意见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</w:pP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本意见适用于在高新区（含先创区）范围内实施新征地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工业类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项目的企业。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napToGrid w:val="0"/>
          <w:color w:val="auto"/>
          <w:kern w:val="0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napToGrid w:val="0"/>
          <w:color w:val="auto"/>
          <w:kern w:val="0"/>
          <w:szCs w:val="32"/>
          <w:lang w:val="en-US" w:eastAsia="zh-CN"/>
        </w:rPr>
        <w:t>一、聚焦项目赋能，强化投资落地扶持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napToGrid w:val="0"/>
          <w:color w:val="auto"/>
          <w:kern w:val="0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（一）全力争取上级政策支持。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聚焦高新区产业体系建设，加强项目谋划储备和投资服务保障。对符合国家战略发展方向的优质项目，推荐纳入国家和省市重大项目计划，支持申报专项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债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、超长期特别国债以及中央预算内投资资金补助等。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（责任部门：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发改局、各项目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牵头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部门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（二）助推项目落地提速。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坚持项目为王，推动项目落地见效、投产达产，对符合“拿地即动工”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或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“竣工即投产”条件的项目给予最高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3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0万元扶持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，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单个项目只享受一次扶持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。（责任部门：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各项目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牵头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部门、财政金融局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（三）加大重大产业项目固定资产投资扶持。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聚焦高质量发展核心领域，引导重大优质产业项目集聚。对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纳入省重点产业项目计划项目（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包括但不限于省重大项目、省绿色低碳高质量发展重点项目），且属于国产替代、填补国内空白的颠覆性、首创性投资项目，经综合评估后，给予单个项目最高不超过固定资产投资5%的资金扶持。单个项目扶持金额最高不超过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10</w:t>
      </w:r>
      <w:r>
        <w:rPr>
          <w:rFonts w:hint="default" w:cs="Times New Roman"/>
          <w:snapToGrid w:val="0"/>
          <w:color w:val="auto"/>
          <w:kern w:val="0"/>
          <w:szCs w:val="32"/>
          <w:lang w:val="en-US" w:eastAsia="zh-CN"/>
        </w:rPr>
        <w:t>00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万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元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（责任部门：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各项目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牵头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部门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财政金融局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napToGrid w:val="0"/>
          <w:color w:val="auto"/>
          <w:kern w:val="0"/>
          <w:szCs w:val="32"/>
          <w:lang w:val="en-US" w:eastAsia="zh-CN"/>
        </w:rPr>
        <w:t>（四）强化实体项目全要素保障。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Cs w:val="32"/>
          <w:lang w:val="en-US" w:eastAsia="zh-CN"/>
        </w:rPr>
        <w:t>完善重大项目联动协调机制，精准对接项目发展需求，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为项目落地建设提供全链条要素保障服务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Cs w:val="32"/>
          <w:lang w:val="en-US" w:eastAsia="zh-CN"/>
        </w:rPr>
        <w:t>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强化金融支持，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Cs w:val="32"/>
          <w:lang w:val="en-US" w:eastAsia="zh-CN"/>
        </w:rPr>
        <w:t>推动金融机构对重点企业、中小企业开展金融服务，搭建政银企沟通平台，着力解决融资难、融资贵问题。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（责任部门：发改局、财政金融局、各项目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牵头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部门）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napToGrid w:val="0"/>
          <w:color w:val="auto"/>
          <w:kern w:val="0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napToGrid w:val="0"/>
          <w:color w:val="auto"/>
          <w:kern w:val="0"/>
          <w:szCs w:val="32"/>
          <w:lang w:val="en-US" w:eastAsia="zh-CN"/>
        </w:rPr>
        <w:t>二、强化政策衔接，实施上级资金配套扶持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（一）实施</w:t>
      </w:r>
      <w:r>
        <w:rPr>
          <w:rFonts w:hint="eastAsia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项目资金配套扶持。</w:t>
      </w:r>
      <w:r>
        <w:rPr>
          <w:rFonts w:hint="default" w:ascii="Times New Roman" w:hAnsi="Times New Roman" w:cs="Times New Roman"/>
          <w:b w:val="0"/>
          <w:bCs w:val="0"/>
          <w:snapToGrid w:val="0"/>
          <w:color w:val="auto"/>
          <w:kern w:val="0"/>
          <w:szCs w:val="32"/>
          <w:lang w:eastAsia="zh-CN"/>
        </w:rPr>
        <w:t>深度对接国家战略科技布局，支持区内单位参与关键核心技术攻关</w:t>
      </w:r>
      <w:r>
        <w:rPr>
          <w:rFonts w:hint="eastAsia" w:cs="Times New Roman"/>
          <w:b w:val="0"/>
          <w:bCs w:val="0"/>
          <w:snapToGrid w:val="0"/>
          <w:color w:val="auto"/>
          <w:kern w:val="0"/>
          <w:szCs w:val="32"/>
          <w:lang w:eastAsia="zh-CN"/>
        </w:rPr>
        <w:t>，</w:t>
      </w:r>
      <w:r>
        <w:rPr>
          <w:rFonts w:hint="eastAsia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鼓励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企业牵头或参与实施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各类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国家级、省级科研攻关项目。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对牵头承担国家重点研发计划项目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，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或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</w:rPr>
        <w:t>国家各部委（发展改革委、工业和信息化部、国防科工局等）、军委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（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</w:rPr>
        <w:t>装备发展部、科技委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等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）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</w:rPr>
        <w:t>各类科研项目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并获得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国家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扶持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资金的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企业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，按照国家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扶持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资金最高1 : 1比例配套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；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对牵头承担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重点研发计划项目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并获得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扶持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资金的单位，按照省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扶持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资金最高1 :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0.5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比例配套</w:t>
      </w:r>
      <w:r>
        <w:rPr>
          <w:rFonts w:hint="eastAsia" w:cs="Times New Roman"/>
          <w:snapToGrid w:val="0"/>
          <w:color w:val="auto"/>
          <w:kern w:val="0"/>
          <w:szCs w:val="32"/>
          <w:lang w:eastAsia="zh-CN"/>
        </w:rPr>
        <w:t>。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资金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根据国家、省拨付进度进行配套。（责任部门：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发改局、工信商务局、科技发展中心、财政金融局及有关行业主管部门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（二）实施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eastAsia="zh-CN"/>
        </w:rPr>
        <w:t>重大科技创新平台建设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配套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eastAsia="zh-CN"/>
        </w:rPr>
        <w:t>扶持。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以构建区域科技创新高地为目标，支持企业牵头或参与创建国家级科技创新平台基地，强化创新资源集聚与转化效能，培育高能级科技企业孵化载体。对牵头建设或重组全国重点实验室、国家技术创新中心、国家产业技术工程化中心、国家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级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制造业创新中心等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国家级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重大科技创新平台，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并获得上级扶持资金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的单位，按照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上级扶持资金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最高1 : 1比例配套，根据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上级扶持资金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拨付进度进行配套。（责任部门：发改局、工信商务局、科技发展中心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、财政金融局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napToGrid w:val="0"/>
          <w:color w:val="auto"/>
          <w:kern w:val="0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（</w:t>
      </w:r>
      <w:r>
        <w:rPr>
          <w:rFonts w:hint="eastAsia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Cs w:val="32"/>
          <w:lang w:val="en-US" w:eastAsia="zh-CN"/>
        </w:rPr>
        <w:t>）实施企业研发投入配套扶持。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推行企业研发投入分档分类后补助机制，精准激励企业强化创新主体地位、持续加大研发投入。对获得上级研究开发补助资金的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企业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，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按照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上级补助资金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最高1 : 1比例配套，根据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上级补助资金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拨付进度进行配套。（责任部门：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科技发展中心、财政金融局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napToGrid w:val="0"/>
          <w:color w:val="auto"/>
          <w:kern w:val="0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napToGrid w:val="0"/>
          <w:color w:val="auto"/>
          <w:kern w:val="0"/>
          <w:szCs w:val="32"/>
          <w:lang w:val="en-US" w:eastAsia="zh-CN"/>
        </w:rPr>
        <w:t>三、附则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</w:pP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（一）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在执行期间如遇国家、省、市有关政策及规定调整的，进行相应调整。若同一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企业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同时符合本意见和本区其他</w:t>
      </w:r>
      <w:r>
        <w:rPr>
          <w:rFonts w:hint="eastAsia" w:cs="Times New Roman"/>
          <w:snapToGrid w:val="0"/>
          <w:color w:val="auto"/>
          <w:kern w:val="0"/>
          <w:szCs w:val="32"/>
          <w:lang w:val="en-US" w:eastAsia="zh-CN"/>
        </w:rPr>
        <w:t>同类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政策的，则按照就高、从优、不重复享受的原则执行，另有规定的除外。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单个企业区级扶持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资金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累计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不超过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5000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万元。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</w:pP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（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val="en-US" w:eastAsia="zh-CN"/>
        </w:rPr>
        <w:t>二</w:t>
      </w:r>
      <w:r>
        <w:rPr>
          <w:rFonts w:hint="default" w:ascii="Times New Roman" w:hAnsi="Times New Roman" w:cs="Times New Roman"/>
          <w:snapToGrid w:val="0"/>
          <w:color w:val="auto"/>
          <w:kern w:val="0"/>
          <w:szCs w:val="32"/>
          <w:lang w:eastAsia="zh-CN"/>
        </w:rPr>
        <w:t>）本意见自印发之日起实施，有效期三年，必要时将根据实施情况予以评估修订。</w:t>
      </w:r>
    </w:p>
    <w:p/>
    <w:sectPr>
      <w:pgSz w:w="11906" w:h="16838"/>
      <w:pgMar w:top="2154" w:right="1474" w:bottom="192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920093"/>
    <w:rsid w:val="0B920093"/>
    <w:rsid w:val="7A632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eastAsia="仿宋_GB2312"/>
      <w:sz w:val="32"/>
    </w:rPr>
  </w:style>
  <w:style w:type="paragraph" w:styleId="3">
    <w:name w:val="Body Text"/>
    <w:basedOn w:val="1"/>
    <w:next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2026-01-27T02:58:00Z</dcterms:created>
  <dc:creator>admin</dc:creator>
  <cp:lastModifiedBy>admin</cp:lastModifiedBy>
  <dcterms:modified xsi:type="dcterms:W3CDTF">2026-01-27T02:59:29Z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