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both"/>
        <w:rPr>
          <w:rFonts w:ascii="方正小标宋简体" w:hAnsi="Times New Roman" w:eastAsia="方正小标宋简体"/>
          <w:spacing w:val="20"/>
          <w:sz w:val="36"/>
          <w:szCs w:val="36"/>
        </w:rPr>
      </w:pPr>
      <w:r>
        <w:rPr>
          <w:rFonts w:hint="eastAsia" w:ascii="方正小标宋简体" w:hAnsi="Times New Roman" w:eastAsia="方正小标宋简体"/>
          <w:spacing w:val="20"/>
          <w:sz w:val="36"/>
          <w:szCs w:val="36"/>
        </w:rPr>
        <w:t>高新区中央生态环保督察“回头看”交办信访件整改销号</w:t>
      </w:r>
      <w:r>
        <w:rPr>
          <w:rFonts w:ascii="方正小标宋简体" w:hAnsi="Times New Roman" w:eastAsia="方正小标宋简体"/>
          <w:spacing w:val="20"/>
          <w:sz w:val="36"/>
          <w:szCs w:val="36"/>
        </w:rPr>
        <w:t>情况表</w:t>
      </w:r>
    </w:p>
    <w:p>
      <w:pPr>
        <w:rPr>
          <w:rFonts w:ascii="方正小标宋简体" w:hAnsi="Times New Roman" w:eastAsia="方正小标宋简体"/>
          <w:spacing w:val="20"/>
          <w:sz w:val="36"/>
          <w:szCs w:val="36"/>
        </w:rPr>
      </w:pPr>
      <w:r>
        <w:rPr>
          <w:rFonts w:hint="eastAsia" w:ascii="宋体" w:hAnsi="宋体" w:eastAsia="宋体" w:cs="宋体"/>
          <w:color w:val="000000"/>
          <w:kern w:val="0"/>
          <w:sz w:val="24"/>
          <w:szCs w:val="24"/>
        </w:rPr>
        <w:t>填报</w:t>
      </w:r>
      <w:r>
        <w:rPr>
          <w:rFonts w:ascii="宋体" w:hAnsi="宋体" w:eastAsia="宋体" w:cs="宋体"/>
          <w:color w:val="000000"/>
          <w:kern w:val="0"/>
          <w:sz w:val="24"/>
          <w:szCs w:val="24"/>
        </w:rPr>
        <w:t>单位</w:t>
      </w:r>
      <w:r>
        <w:rPr>
          <w:rFonts w:hint="eastAsia" w:ascii="宋体" w:hAnsi="宋体" w:eastAsia="宋体" w:cs="宋体"/>
          <w:color w:val="000000"/>
          <w:kern w:val="0"/>
          <w:sz w:val="24"/>
          <w:szCs w:val="24"/>
        </w:rPr>
        <w:t>：</w:t>
      </w:r>
      <w:r>
        <w:rPr>
          <w:rFonts w:hint="eastAsia" w:ascii="宋体" w:hAnsi="宋体" w:eastAsia="宋体" w:cs="宋体"/>
          <w:color w:val="000000"/>
          <w:kern w:val="0"/>
          <w:sz w:val="24"/>
          <w:szCs w:val="24"/>
          <w:lang w:eastAsia="zh-CN"/>
        </w:rPr>
        <w:t>淄博高新区市场监管局</w:t>
      </w:r>
      <w:r>
        <w:rPr>
          <w:rFonts w:hint="eastAsia" w:ascii="宋体" w:hAnsi="宋体" w:eastAsia="宋体" w:cs="宋体"/>
          <w:color w:val="000000"/>
          <w:kern w:val="0"/>
          <w:sz w:val="24"/>
          <w:szCs w:val="24"/>
        </w:rPr>
        <w:t xml:space="preserve">           </w:t>
      </w:r>
      <w:r>
        <w:rPr>
          <w:rFonts w:ascii="宋体" w:hAnsi="宋体" w:eastAsia="宋体" w:cs="宋体"/>
          <w:color w:val="000000"/>
          <w:kern w:val="0"/>
          <w:sz w:val="24"/>
          <w:szCs w:val="24"/>
        </w:rPr>
        <w:t xml:space="preserve">                                       </w:t>
      </w:r>
      <w:r>
        <w:rPr>
          <w:rFonts w:hint="eastAsia" w:ascii="宋体" w:hAnsi="宋体" w:eastAsia="宋体" w:cs="宋体"/>
          <w:color w:val="000000"/>
          <w:kern w:val="0"/>
          <w:sz w:val="24"/>
          <w:szCs w:val="24"/>
        </w:rPr>
        <w:t>填报时间</w:t>
      </w:r>
      <w:r>
        <w:rPr>
          <w:rFonts w:ascii="宋体" w:hAnsi="宋体" w:eastAsia="宋体" w:cs="宋体"/>
          <w:color w:val="000000"/>
          <w:kern w:val="0"/>
          <w:sz w:val="24"/>
          <w:szCs w:val="24"/>
        </w:rPr>
        <w:t>：</w:t>
      </w:r>
      <w:r>
        <w:rPr>
          <w:rFonts w:hint="eastAsia" w:ascii="宋体" w:hAnsi="宋体" w:eastAsia="宋体" w:cs="宋体"/>
          <w:color w:val="000000"/>
          <w:kern w:val="0"/>
          <w:sz w:val="24"/>
          <w:szCs w:val="24"/>
        </w:rPr>
        <w:t>2019年</w:t>
      </w:r>
      <w:r>
        <w:rPr>
          <w:rFonts w:hint="eastAsia" w:ascii="宋体" w:hAnsi="宋体" w:eastAsia="宋体" w:cs="宋体"/>
          <w:color w:val="000000"/>
          <w:kern w:val="0"/>
          <w:sz w:val="24"/>
          <w:szCs w:val="24"/>
          <w:lang w:val="en-US" w:eastAsia="zh-CN"/>
        </w:rPr>
        <w:t>8</w:t>
      </w:r>
      <w:r>
        <w:rPr>
          <w:rFonts w:hint="eastAsia" w:ascii="宋体" w:hAnsi="宋体" w:eastAsia="宋体" w:cs="宋体"/>
          <w:color w:val="000000"/>
          <w:kern w:val="0"/>
          <w:sz w:val="24"/>
          <w:szCs w:val="24"/>
        </w:rPr>
        <w:t>月</w:t>
      </w:r>
      <w:r>
        <w:rPr>
          <w:rFonts w:hint="eastAsia" w:ascii="宋体" w:hAnsi="宋体" w:eastAsia="宋体" w:cs="宋体"/>
          <w:color w:val="000000"/>
          <w:kern w:val="0"/>
          <w:sz w:val="24"/>
          <w:szCs w:val="24"/>
          <w:lang w:val="en-US" w:eastAsia="zh-CN"/>
        </w:rPr>
        <w:t>15</w:t>
      </w:r>
      <w:r>
        <w:rPr>
          <w:rFonts w:hint="eastAsia" w:ascii="宋体" w:hAnsi="宋体" w:eastAsia="宋体" w:cs="宋体"/>
          <w:color w:val="000000"/>
          <w:kern w:val="0"/>
          <w:sz w:val="24"/>
          <w:szCs w:val="24"/>
        </w:rPr>
        <w:t>日</w:t>
      </w:r>
    </w:p>
    <w:tbl>
      <w:tblPr>
        <w:tblStyle w:val="6"/>
        <w:tblW w:w="13353" w:type="dxa"/>
        <w:tblInd w:w="-60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98"/>
        <w:gridCol w:w="1030"/>
        <w:gridCol w:w="4530"/>
        <w:gridCol w:w="630"/>
        <w:gridCol w:w="1080"/>
        <w:gridCol w:w="4918"/>
        <w:gridCol w:w="5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0" w:hRule="atLeast"/>
          <w:tblHeader/>
        </w:trPr>
        <w:tc>
          <w:tcPr>
            <w:tcW w:w="598" w:type="dxa"/>
            <w:shd w:val="clear" w:color="auto" w:fill="auto"/>
            <w:vAlign w:val="center"/>
          </w:tcPr>
          <w:p>
            <w:pPr>
              <w:widowControl/>
              <w:spacing w:line="240" w:lineRule="exact"/>
              <w:jc w:val="center"/>
              <w:rPr>
                <w:rFonts w:ascii="宋体" w:hAnsi="宋体" w:eastAsia="宋体" w:cs="宋体"/>
                <w:b/>
                <w:bCs/>
                <w:color w:val="000000"/>
                <w:kern w:val="0"/>
                <w:sz w:val="18"/>
                <w:szCs w:val="18"/>
              </w:rPr>
            </w:pPr>
            <w:r>
              <w:rPr>
                <w:rFonts w:hint="eastAsia" w:ascii="宋体" w:hAnsi="宋体" w:eastAsia="宋体" w:cs="宋体"/>
                <w:b/>
                <w:bCs/>
                <w:color w:val="000000"/>
                <w:kern w:val="0"/>
                <w:sz w:val="18"/>
                <w:szCs w:val="18"/>
              </w:rPr>
              <w:t>序号</w:t>
            </w:r>
          </w:p>
        </w:tc>
        <w:tc>
          <w:tcPr>
            <w:tcW w:w="1030" w:type="dxa"/>
            <w:shd w:val="clear" w:color="auto" w:fill="auto"/>
            <w:vAlign w:val="center"/>
          </w:tcPr>
          <w:p>
            <w:pPr>
              <w:widowControl/>
              <w:spacing w:line="240" w:lineRule="exact"/>
              <w:jc w:val="center"/>
              <w:rPr>
                <w:rFonts w:ascii="宋体" w:hAnsi="宋体" w:eastAsia="宋体" w:cs="宋体"/>
                <w:b/>
                <w:bCs/>
                <w:color w:val="000000"/>
                <w:kern w:val="0"/>
                <w:sz w:val="18"/>
                <w:szCs w:val="18"/>
              </w:rPr>
            </w:pPr>
            <w:r>
              <w:rPr>
                <w:rFonts w:hint="eastAsia" w:ascii="宋体" w:hAnsi="宋体" w:eastAsia="宋体" w:cs="宋体"/>
                <w:b/>
                <w:bCs/>
                <w:color w:val="000000"/>
                <w:kern w:val="0"/>
                <w:sz w:val="18"/>
                <w:szCs w:val="18"/>
              </w:rPr>
              <w:t>受理编号</w:t>
            </w:r>
          </w:p>
        </w:tc>
        <w:tc>
          <w:tcPr>
            <w:tcW w:w="4530" w:type="dxa"/>
            <w:shd w:val="clear" w:color="auto" w:fill="auto"/>
            <w:vAlign w:val="center"/>
          </w:tcPr>
          <w:p>
            <w:pPr>
              <w:widowControl/>
              <w:spacing w:line="240" w:lineRule="exact"/>
              <w:jc w:val="center"/>
              <w:rPr>
                <w:rFonts w:ascii="宋体" w:hAnsi="宋体" w:eastAsia="宋体" w:cs="宋体"/>
                <w:b/>
                <w:bCs/>
                <w:color w:val="000000"/>
                <w:kern w:val="0"/>
                <w:sz w:val="18"/>
                <w:szCs w:val="18"/>
              </w:rPr>
            </w:pPr>
            <w:r>
              <w:rPr>
                <w:rFonts w:hint="eastAsia" w:ascii="宋体" w:hAnsi="宋体" w:eastAsia="宋体" w:cs="宋体"/>
                <w:b/>
                <w:bCs/>
                <w:color w:val="000000"/>
                <w:kern w:val="0"/>
                <w:sz w:val="18"/>
                <w:szCs w:val="18"/>
              </w:rPr>
              <w:t>交办</w:t>
            </w:r>
            <w:r>
              <w:rPr>
                <w:rFonts w:ascii="宋体" w:hAnsi="宋体" w:eastAsia="宋体" w:cs="宋体"/>
                <w:b/>
                <w:bCs/>
                <w:color w:val="000000"/>
                <w:kern w:val="0"/>
                <w:sz w:val="18"/>
                <w:szCs w:val="18"/>
              </w:rPr>
              <w:t>信访问题基本情况</w:t>
            </w:r>
          </w:p>
        </w:tc>
        <w:tc>
          <w:tcPr>
            <w:tcW w:w="630" w:type="dxa"/>
            <w:shd w:val="clear" w:color="auto" w:fill="auto"/>
            <w:vAlign w:val="center"/>
          </w:tcPr>
          <w:p>
            <w:pPr>
              <w:widowControl/>
              <w:spacing w:line="240" w:lineRule="exact"/>
              <w:jc w:val="center"/>
              <w:rPr>
                <w:rFonts w:ascii="宋体" w:hAnsi="宋体" w:eastAsia="宋体" w:cs="宋体"/>
                <w:b/>
                <w:bCs/>
                <w:color w:val="000000"/>
                <w:kern w:val="0"/>
                <w:sz w:val="18"/>
                <w:szCs w:val="18"/>
              </w:rPr>
            </w:pPr>
            <w:r>
              <w:rPr>
                <w:rFonts w:hint="eastAsia" w:ascii="宋体" w:hAnsi="宋体" w:eastAsia="宋体" w:cs="宋体"/>
                <w:b/>
                <w:bCs/>
                <w:color w:val="000000"/>
                <w:kern w:val="0"/>
                <w:sz w:val="18"/>
                <w:szCs w:val="18"/>
              </w:rPr>
              <w:t>是否属实</w:t>
            </w:r>
          </w:p>
        </w:tc>
        <w:tc>
          <w:tcPr>
            <w:tcW w:w="1080" w:type="dxa"/>
            <w:vAlign w:val="center"/>
          </w:tcPr>
          <w:p>
            <w:pPr>
              <w:widowControl/>
              <w:spacing w:line="320" w:lineRule="exact"/>
              <w:jc w:val="center"/>
              <w:rPr>
                <w:rFonts w:ascii="仿宋_GB2312" w:hAnsi="宋体" w:eastAsia="仿宋_GB2312" w:cs="宋体"/>
                <w:kern w:val="0"/>
                <w:sz w:val="24"/>
                <w:szCs w:val="24"/>
              </w:rPr>
            </w:pPr>
            <w:r>
              <w:rPr>
                <w:rFonts w:hint="eastAsia" w:ascii="宋体" w:hAnsi="宋体" w:eastAsia="宋体" w:cs="宋体"/>
                <w:b/>
                <w:bCs/>
                <w:color w:val="000000"/>
                <w:kern w:val="0"/>
                <w:sz w:val="18"/>
                <w:szCs w:val="18"/>
              </w:rPr>
              <w:t>责任</w:t>
            </w:r>
            <w:r>
              <w:rPr>
                <w:rFonts w:ascii="宋体" w:hAnsi="宋体" w:eastAsia="宋体" w:cs="宋体"/>
                <w:b/>
                <w:bCs/>
                <w:color w:val="000000"/>
                <w:kern w:val="0"/>
                <w:sz w:val="18"/>
                <w:szCs w:val="18"/>
              </w:rPr>
              <w:t>单位</w:t>
            </w:r>
          </w:p>
        </w:tc>
        <w:tc>
          <w:tcPr>
            <w:tcW w:w="4918" w:type="dxa"/>
            <w:vAlign w:val="center"/>
          </w:tcPr>
          <w:p>
            <w:pPr>
              <w:widowControl/>
              <w:spacing w:line="240" w:lineRule="exact"/>
              <w:jc w:val="center"/>
              <w:rPr>
                <w:rFonts w:ascii="宋体" w:hAnsi="宋体" w:eastAsia="宋体" w:cs="宋体"/>
                <w:b/>
                <w:bCs/>
                <w:color w:val="000000"/>
                <w:kern w:val="0"/>
                <w:sz w:val="18"/>
                <w:szCs w:val="18"/>
              </w:rPr>
            </w:pPr>
            <w:r>
              <w:rPr>
                <w:rFonts w:hint="eastAsia" w:ascii="宋体" w:hAnsi="宋体" w:eastAsia="宋体" w:cs="宋体"/>
                <w:b/>
                <w:bCs/>
                <w:color w:val="000000"/>
                <w:kern w:val="0"/>
                <w:sz w:val="18"/>
                <w:szCs w:val="18"/>
              </w:rPr>
              <w:t>办结</w:t>
            </w:r>
            <w:r>
              <w:rPr>
                <w:rFonts w:ascii="宋体" w:hAnsi="宋体" w:eastAsia="宋体" w:cs="宋体"/>
                <w:b/>
                <w:bCs/>
                <w:color w:val="000000"/>
                <w:kern w:val="0"/>
                <w:sz w:val="18"/>
                <w:szCs w:val="18"/>
              </w:rPr>
              <w:t>情况</w:t>
            </w:r>
          </w:p>
        </w:tc>
        <w:tc>
          <w:tcPr>
            <w:tcW w:w="567" w:type="dxa"/>
            <w:vAlign w:val="center"/>
          </w:tcPr>
          <w:p>
            <w:pPr>
              <w:widowControl/>
              <w:spacing w:line="240" w:lineRule="exact"/>
              <w:jc w:val="center"/>
              <w:rPr>
                <w:rFonts w:ascii="宋体" w:hAnsi="宋体" w:eastAsia="宋体" w:cs="宋体"/>
                <w:b/>
                <w:bCs/>
                <w:color w:val="000000"/>
                <w:kern w:val="0"/>
                <w:sz w:val="18"/>
                <w:szCs w:val="18"/>
              </w:rPr>
            </w:pPr>
            <w:r>
              <w:rPr>
                <w:rFonts w:hint="eastAsia" w:ascii="宋体" w:hAnsi="宋体" w:eastAsia="宋体" w:cs="宋体"/>
                <w:b/>
                <w:bCs/>
                <w:color w:val="000000"/>
                <w:kern w:val="0"/>
                <w:sz w:val="18"/>
                <w:szCs w:val="18"/>
              </w:rPr>
              <w:t>备注</w:t>
            </w:r>
          </w:p>
          <w:p>
            <w:pPr>
              <w:spacing w:line="240" w:lineRule="exact"/>
              <w:jc w:val="center"/>
              <w:rPr>
                <w:rFonts w:ascii="宋体" w:hAnsi="宋体" w:eastAsia="宋体" w:cs="宋体"/>
                <w:b/>
                <w:bCs/>
                <w:color w:val="000000"/>
                <w:kern w:val="0"/>
                <w:sz w:val="18"/>
                <w:szCs w:val="18"/>
              </w:rPr>
            </w:pPr>
            <w:r>
              <w:rPr>
                <w:rFonts w:ascii="宋体" w:hAnsi="宋体" w:eastAsia="宋体" w:cs="宋体"/>
                <w:color w:val="000000"/>
                <w:kern w:val="0"/>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9" w:hRule="atLeast"/>
        </w:trPr>
        <w:tc>
          <w:tcPr>
            <w:tcW w:w="598" w:type="dxa"/>
            <w:shd w:val="clear" w:color="auto" w:fill="auto"/>
            <w:vAlign w:val="center"/>
          </w:tcPr>
          <w:p>
            <w:pPr>
              <w:widowControl/>
              <w:spacing w:line="2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13</w:t>
            </w:r>
          </w:p>
        </w:tc>
        <w:tc>
          <w:tcPr>
            <w:tcW w:w="1030" w:type="dxa"/>
            <w:shd w:val="clear" w:color="auto" w:fill="auto"/>
            <w:vAlign w:val="center"/>
          </w:tcPr>
          <w:p>
            <w:pPr>
              <w:widowControl/>
              <w:spacing w:line="2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D</w:t>
            </w:r>
            <w:r>
              <w:rPr>
                <w:rFonts w:ascii="仿宋_GB2312" w:hAnsi="宋体" w:eastAsia="仿宋_GB2312" w:cs="宋体"/>
                <w:kern w:val="0"/>
                <w:sz w:val="24"/>
                <w:szCs w:val="24"/>
              </w:rPr>
              <w:t>370000201811290018</w:t>
            </w:r>
          </w:p>
        </w:tc>
        <w:tc>
          <w:tcPr>
            <w:tcW w:w="4530" w:type="dxa"/>
            <w:shd w:val="clear" w:color="auto" w:fill="auto"/>
            <w:vAlign w:val="center"/>
          </w:tcPr>
          <w:p>
            <w:pPr>
              <w:widowControl/>
              <w:spacing w:line="240" w:lineRule="exact"/>
              <w:jc w:val="center"/>
              <w:rPr>
                <w:rFonts w:ascii="仿宋_GB2312" w:hAnsi="宋体" w:eastAsia="仿宋_GB2312" w:cs="宋体"/>
                <w:kern w:val="0"/>
                <w:sz w:val="24"/>
                <w:szCs w:val="24"/>
              </w:rPr>
            </w:pPr>
            <w:r>
              <w:rPr>
                <w:rFonts w:ascii="仿宋_GB2312" w:hAnsi="宋体" w:eastAsia="仿宋_GB2312" w:cs="宋体"/>
                <w:kern w:val="0"/>
                <w:sz w:val="24"/>
                <w:szCs w:val="24"/>
              </w:rPr>
              <w:t>淄博市淄博高新区宝西路31号，淄博开发区多纶油剂化工有限公司将危险废物经营许可证作为洗白危险废物身份的工具，打着危险废物综合利用的旗号，收集了成分复杂的废溶剂、母液等液态危险废物后，简单混合调配后，制定宽松的企业标准，把这些危险废物洗白了危险废物身份，然后转手倒卖。主要途径有二，一是制定企业标准，把这些危险废物当作燃料油。这些标准中只有热值等利用性指标，企业标准制定根本没有考虑其中的有毒有害成分，市场监管部门也没有对这些所谓的企业标准的“产品”进行监管。这部分燃料油成分复杂含大量有毒有害物质、有的盐分很高、有的含大量的有机卤化物，这些所谓的“燃料油”必然会造成大量的空气污染。二是通过制定宽松的标准，把液态危险废物变成了低档的油漆稀释剂，这低端的油漆稀释剂无法用于有喷漆废气处置设施的规模化工业生产中，一般只能用于零散的、低端的油漆喷漆过程。油漆稀释剂最终是全部进入到了大气中，排放了大量的危害极大的VOC，这些油漆稀释剂成分复杂、含大量有毒有害的物质，对油漆工人和周边人群身体也会造成很大的伤害。</w:t>
            </w:r>
          </w:p>
        </w:tc>
        <w:tc>
          <w:tcPr>
            <w:tcW w:w="630" w:type="dxa"/>
            <w:shd w:val="clear" w:color="auto" w:fill="auto"/>
            <w:vAlign w:val="center"/>
          </w:tcPr>
          <w:p>
            <w:pPr>
              <w:widowControl/>
              <w:spacing w:line="2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是</w:t>
            </w:r>
          </w:p>
        </w:tc>
        <w:tc>
          <w:tcPr>
            <w:tcW w:w="1080" w:type="dxa"/>
            <w:vAlign w:val="center"/>
          </w:tcPr>
          <w:p>
            <w:pPr>
              <w:spacing w:line="2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 xml:space="preserve"> 环保局</w:t>
            </w:r>
            <w:r>
              <w:rPr>
                <w:rFonts w:ascii="仿宋_GB2312" w:hAnsi="宋体" w:eastAsia="仿宋_GB2312" w:cs="宋体"/>
                <w:kern w:val="0"/>
                <w:sz w:val="24"/>
                <w:szCs w:val="24"/>
              </w:rPr>
              <w:t>经发局</w:t>
            </w:r>
          </w:p>
          <w:p>
            <w:pPr>
              <w:spacing w:line="24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市场监管</w:t>
            </w:r>
            <w:r>
              <w:rPr>
                <w:rFonts w:ascii="仿宋_GB2312" w:hAnsi="宋体" w:eastAsia="仿宋_GB2312" w:cs="宋体"/>
                <w:kern w:val="0"/>
                <w:sz w:val="24"/>
                <w:szCs w:val="24"/>
              </w:rPr>
              <w:t>局</w:t>
            </w:r>
          </w:p>
        </w:tc>
        <w:tc>
          <w:tcPr>
            <w:tcW w:w="4918" w:type="dxa"/>
            <w:vAlign w:val="center"/>
          </w:tcPr>
          <w:p>
            <w:pPr>
              <w:spacing w:line="240" w:lineRule="exact"/>
              <w:jc w:val="left"/>
              <w:rPr>
                <w:rFonts w:hint="eastAsia" w:ascii="仿宋_GB2312" w:hAnsi="宋体" w:eastAsia="仿宋_GB2312" w:cs="宋体"/>
                <w:kern w:val="0"/>
                <w:sz w:val="24"/>
                <w:szCs w:val="24"/>
              </w:rPr>
            </w:pPr>
            <w:r>
              <w:rPr>
                <w:rFonts w:hint="eastAsia" w:ascii="仿宋_GB2312" w:hAnsi="宋体" w:eastAsia="仿宋_GB2312" w:cs="宋体"/>
                <w:kern w:val="0"/>
                <w:sz w:val="24"/>
                <w:szCs w:val="24"/>
              </w:rPr>
              <w:t>2018年11月30日，我局接到督办单（D370000201811290018）后，执法人员立即赶往淄博开发区多纶油剂化工有限公司进行现场检查，检查情况如下：</w:t>
            </w:r>
          </w:p>
          <w:p>
            <w:pPr>
              <w:spacing w:line="240" w:lineRule="exact"/>
              <w:jc w:val="left"/>
              <w:rPr>
                <w:rFonts w:hint="eastAsia" w:ascii="仿宋_GB2312" w:hAnsi="宋体" w:eastAsia="仿宋_GB2312" w:cs="宋体"/>
                <w:kern w:val="0"/>
                <w:sz w:val="24"/>
                <w:szCs w:val="24"/>
              </w:rPr>
            </w:pPr>
            <w:r>
              <w:rPr>
                <w:rFonts w:hint="eastAsia" w:ascii="仿宋_GB2312" w:hAnsi="宋体" w:eastAsia="仿宋_GB2312" w:cs="宋体"/>
                <w:kern w:val="0"/>
                <w:sz w:val="24"/>
                <w:szCs w:val="24"/>
              </w:rPr>
              <w:t>经现场核实：（1）该企业现场生产的产品是再生的润滑油基础油，该产品生产工序为：将废矿物油加热后通过分子蒸</w:t>
            </w:r>
            <w:bookmarkStart w:id="0" w:name="_GoBack"/>
            <w:bookmarkEnd w:id="0"/>
            <w:r>
              <w:rPr>
                <w:rFonts w:hint="eastAsia" w:ascii="仿宋_GB2312" w:hAnsi="宋体" w:eastAsia="仿宋_GB2312" w:cs="宋体"/>
                <w:kern w:val="0"/>
                <w:sz w:val="24"/>
                <w:szCs w:val="24"/>
              </w:rPr>
              <w:t>馏装置去除水分和部分杂质后，再通过精制装置进行脱色过滤后得到再生润滑油基础油。；(2)经查询 《全国工业产品生产许可证目录》，该产品不需要办理《全国工业产品生产许可证》；(3)因该产品没有相关国家标准或行业标准，所以该企业根据需要制定了企业标准组织生产, 该企业在《企业标准信息公共服务平台》公开了该产品的企业标准；(4)现场没有发现燃料油。</w:t>
            </w:r>
          </w:p>
          <w:p>
            <w:pPr>
              <w:spacing w:line="240" w:lineRule="exact"/>
              <w:jc w:val="left"/>
              <w:rPr>
                <w:rFonts w:ascii="仿宋_GB2312" w:hAnsi="宋体" w:eastAsia="仿宋_GB2312" w:cs="宋体"/>
                <w:kern w:val="0"/>
                <w:sz w:val="24"/>
                <w:szCs w:val="24"/>
              </w:rPr>
            </w:pPr>
            <w:r>
              <w:rPr>
                <w:rFonts w:hint="eastAsia" w:ascii="仿宋_GB2312" w:hAnsi="宋体" w:eastAsia="仿宋_GB2312" w:cs="宋体"/>
                <w:kern w:val="0"/>
                <w:sz w:val="24"/>
                <w:szCs w:val="24"/>
              </w:rPr>
              <w:t>2018年11月30日现场检查时，该企业生产的产品再生基础油执行的是企业标准（Q/ZBDL 01-2018）,于2019年5月22日再对该企业进行现场检查，由去年执行的企业标准改为行业标准（T/CRRA 0901-2018）。该企业在《企业标准信息公共服务平台》公开了该产品的企业标准。</w:t>
            </w:r>
          </w:p>
        </w:tc>
        <w:tc>
          <w:tcPr>
            <w:tcW w:w="567" w:type="dxa"/>
            <w:vAlign w:val="center"/>
          </w:tcPr>
          <w:p>
            <w:pPr>
              <w:spacing w:line="240" w:lineRule="exact"/>
              <w:jc w:val="center"/>
              <w:rPr>
                <w:rFonts w:hint="default" w:ascii="仿宋_GB2312" w:hAnsi="宋体" w:eastAsia="仿宋_GB2312" w:cs="宋体"/>
                <w:kern w:val="0"/>
                <w:sz w:val="24"/>
                <w:szCs w:val="24"/>
                <w:lang w:val="en-US" w:eastAsia="zh-CN"/>
              </w:rPr>
            </w:pPr>
            <w:r>
              <w:rPr>
                <w:rFonts w:hint="eastAsia" w:ascii="仿宋_GB2312" w:hAnsi="宋体" w:eastAsia="仿宋_GB2312" w:cs="宋体"/>
                <w:kern w:val="0"/>
                <w:sz w:val="24"/>
                <w:szCs w:val="24"/>
                <w:lang w:val="en-US" w:eastAsia="zh-CN"/>
              </w:rPr>
              <w:t xml:space="preserve">   </w:t>
            </w:r>
          </w:p>
        </w:tc>
      </w:tr>
    </w:tbl>
    <w:p/>
    <w:sectPr>
      <w:footerReference r:id="rId3" w:type="default"/>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小标宋简体">
    <w:altName w:val="黑体"/>
    <w:panose1 w:val="03000509000000000000"/>
    <w:charset w:val="86"/>
    <w:family w:val="script"/>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83223802"/>
      <w:docPartObj>
        <w:docPartGallery w:val="autotext"/>
      </w:docPartObj>
    </w:sdtPr>
    <w:sdtContent>
      <w:p>
        <w:pPr>
          <w:pStyle w:val="3"/>
          <w:jc w:val="center"/>
        </w:pPr>
        <w:r>
          <w:fldChar w:fldCharType="begin"/>
        </w:r>
        <w:r>
          <w:instrText xml:space="preserve">PAGE   \* MERGEFORMAT</w:instrText>
        </w:r>
        <w:r>
          <w:fldChar w:fldCharType="separate"/>
        </w:r>
        <w:r>
          <w:rPr>
            <w:lang w:val="zh-CN"/>
          </w:rPr>
          <w:t>7</w:t>
        </w:r>
        <w:r>
          <w:fldChar w:fldCharType="end"/>
        </w:r>
      </w:p>
    </w:sdtContent>
  </w:sdt>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5651"/>
    <w:rsid w:val="00044BF0"/>
    <w:rsid w:val="00053FE4"/>
    <w:rsid w:val="00055ED1"/>
    <w:rsid w:val="0007176A"/>
    <w:rsid w:val="00117370"/>
    <w:rsid w:val="00176A0B"/>
    <w:rsid w:val="002134DC"/>
    <w:rsid w:val="002C79BC"/>
    <w:rsid w:val="00355651"/>
    <w:rsid w:val="005174A2"/>
    <w:rsid w:val="00535DF9"/>
    <w:rsid w:val="00543DB4"/>
    <w:rsid w:val="00546262"/>
    <w:rsid w:val="005831BD"/>
    <w:rsid w:val="006A66F5"/>
    <w:rsid w:val="006F27FD"/>
    <w:rsid w:val="00753B1A"/>
    <w:rsid w:val="007A057A"/>
    <w:rsid w:val="00823AC2"/>
    <w:rsid w:val="00833CED"/>
    <w:rsid w:val="0084792C"/>
    <w:rsid w:val="00935305"/>
    <w:rsid w:val="0099019E"/>
    <w:rsid w:val="00A93998"/>
    <w:rsid w:val="00AA35F2"/>
    <w:rsid w:val="00B02320"/>
    <w:rsid w:val="00B75DA8"/>
    <w:rsid w:val="00D3398D"/>
    <w:rsid w:val="00D37C14"/>
    <w:rsid w:val="00EB3501"/>
    <w:rsid w:val="00F461CA"/>
    <w:rsid w:val="00FE77FB"/>
    <w:rsid w:val="0897309A"/>
    <w:rsid w:val="30847B4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uiPriority w:val="1"/>
  </w:style>
  <w:style w:type="table" w:default="1" w:styleId="6">
    <w:name w:val="Normal Table"/>
    <w:semiHidden/>
    <w:unhideWhenUsed/>
    <w:uiPriority w:val="99"/>
    <w:tblPr>
      <w:tblLayout w:type="fixed"/>
      <w:tblCellMar>
        <w:top w:w="0" w:type="dxa"/>
        <w:left w:w="108" w:type="dxa"/>
        <w:bottom w:w="0" w:type="dxa"/>
        <w:right w:w="108" w:type="dxa"/>
      </w:tblCellMar>
    </w:tblPr>
  </w:style>
  <w:style w:type="paragraph" w:styleId="2">
    <w:name w:val="Balloon Text"/>
    <w:basedOn w:val="1"/>
    <w:link w:val="9"/>
    <w:semiHidden/>
    <w:unhideWhenUsed/>
    <w:uiPriority w:val="99"/>
    <w:rPr>
      <w:sz w:val="18"/>
      <w:szCs w:val="18"/>
    </w:rPr>
  </w:style>
  <w:style w:type="paragraph" w:styleId="3">
    <w:name w:val="footer"/>
    <w:basedOn w:val="1"/>
    <w:link w:val="8"/>
    <w:unhideWhenUsed/>
    <w:uiPriority w:val="99"/>
    <w:pPr>
      <w:tabs>
        <w:tab w:val="center" w:pos="4153"/>
        <w:tab w:val="right" w:pos="8306"/>
      </w:tabs>
      <w:snapToGrid w:val="0"/>
      <w:jc w:val="left"/>
    </w:pPr>
    <w:rPr>
      <w:sz w:val="18"/>
      <w:szCs w:val="18"/>
    </w:rPr>
  </w:style>
  <w:style w:type="paragraph" w:styleId="4">
    <w:name w:val="header"/>
    <w:basedOn w:val="1"/>
    <w:link w:val="7"/>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5"/>
    <w:link w:val="4"/>
    <w:uiPriority w:val="99"/>
    <w:rPr>
      <w:sz w:val="18"/>
      <w:szCs w:val="18"/>
    </w:rPr>
  </w:style>
  <w:style w:type="character" w:customStyle="1" w:styleId="8">
    <w:name w:val="页脚 Char"/>
    <w:basedOn w:val="5"/>
    <w:link w:val="3"/>
    <w:uiPriority w:val="99"/>
    <w:rPr>
      <w:sz w:val="18"/>
      <w:szCs w:val="18"/>
    </w:rPr>
  </w:style>
  <w:style w:type="character" w:customStyle="1" w:styleId="9">
    <w:name w:val="批注框文本 Char"/>
    <w:basedOn w:val="5"/>
    <w:link w:val="2"/>
    <w:semiHidden/>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7</Pages>
  <Words>430</Words>
  <Characters>2456</Characters>
  <Lines>20</Lines>
  <Paragraphs>5</Paragraphs>
  <TotalTime>145</TotalTime>
  <ScaleCrop>false</ScaleCrop>
  <LinksUpToDate>false</LinksUpToDate>
  <CharactersWithSpaces>2881</CharactersWithSpaces>
  <Application>WPS Office_10.8.2.6949_F1E327BC-269C-435d-A152-05C5408002CA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2019-06-03T07:41:00Z</dcterms:created>
  <dc:creator>PC</dc:creator>
  <cp:lastModifiedBy>Lenovo</cp:lastModifiedBy>
  <cp:lastPrinted>2019-07-13T09:30:00Z</cp:lastPrinted>
  <dcterms:modified xsi:type="dcterms:W3CDTF">2019-08-16T09:07:37Z</dcterms:modified>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2052-10.8.2.6949</vt:lpwstr>
  </property>
</Properties>
</file>