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40" w:lineRule="exact"/>
        <w:jc w:val="center"/>
        <w:rPr>
          <w:rFonts w:ascii="方正小标宋简体" w:hAnsi="黑体" w:eastAsia="方正小标宋简体" w:cs="黑体"/>
          <w:sz w:val="44"/>
          <w:szCs w:val="44"/>
        </w:rPr>
      </w:pPr>
    </w:p>
    <w:p>
      <w:pPr>
        <w:spacing w:line="640" w:lineRule="exact"/>
        <w:jc w:val="center"/>
        <w:rPr>
          <w:rFonts w:ascii="方正小标宋简体" w:hAnsi="黑体" w:eastAsia="方正小标宋简体" w:cs="黑体"/>
          <w:sz w:val="44"/>
          <w:szCs w:val="44"/>
        </w:rPr>
      </w:pPr>
    </w:p>
    <w:p>
      <w:pPr>
        <w:spacing w:line="640" w:lineRule="exact"/>
        <w:jc w:val="center"/>
        <w:rPr>
          <w:rFonts w:ascii="方正小标宋简体" w:hAnsi="黑体" w:eastAsia="方正小标宋简体" w:cs="黑体"/>
          <w:sz w:val="44"/>
          <w:szCs w:val="44"/>
        </w:rPr>
      </w:pPr>
    </w:p>
    <w:p>
      <w:pPr>
        <w:spacing w:line="240" w:lineRule="exact"/>
        <w:jc w:val="center"/>
        <w:rPr>
          <w:rFonts w:ascii="方正小标宋简体" w:hAnsi="黑体" w:eastAsia="方正小标宋简体" w:cs="黑体"/>
          <w:sz w:val="44"/>
          <w:szCs w:val="44"/>
        </w:rPr>
      </w:pPr>
    </w:p>
    <w:p>
      <w:pPr>
        <w:spacing w:line="560" w:lineRule="exact"/>
        <w:jc w:val="center"/>
        <w:rPr>
          <w:rFonts w:ascii="方正小标宋简体" w:hAnsi="黑体" w:eastAsia="方正小标宋简体" w:cs="黑体"/>
          <w:sz w:val="44"/>
          <w:szCs w:val="44"/>
        </w:rPr>
      </w:pPr>
    </w:p>
    <w:p>
      <w:pPr>
        <w:spacing w:line="560" w:lineRule="exact"/>
        <w:rPr>
          <w:rFonts w:ascii="方正小标宋简体" w:hAnsi="黑体" w:eastAsia="方正小标宋简体" w:cs="黑体"/>
          <w:sz w:val="44"/>
          <w:szCs w:val="44"/>
        </w:rPr>
      </w:pPr>
    </w:p>
    <w:p>
      <w:pPr>
        <w:spacing w:line="560" w:lineRule="exact"/>
        <w:rPr>
          <w:rFonts w:ascii="方正小标宋简体" w:hAnsi="黑体" w:eastAsia="方正小标宋简体" w:cs="黑体"/>
          <w:sz w:val="44"/>
          <w:szCs w:val="44"/>
        </w:rPr>
      </w:pPr>
    </w:p>
    <w:p>
      <w:pPr>
        <w:adjustRightInd w:val="0"/>
        <w:snapToGrid w:val="0"/>
        <w:spacing w:before="100" w:beforeAutospacing="1" w:line="240" w:lineRule="atLeast"/>
        <w:rPr>
          <w:rFonts w:ascii="华文中宋" w:hAnsi="华文中宋" w:eastAsia="华文中宋"/>
          <w:bCs/>
          <w:sz w:val="44"/>
          <w:szCs w:val="44"/>
        </w:rPr>
      </w:pPr>
    </w:p>
    <w:p>
      <w:pPr>
        <w:adjustRightInd w:val="0"/>
        <w:snapToGrid w:val="0"/>
        <w:spacing w:line="240" w:lineRule="atLeast"/>
        <w:jc w:val="center"/>
        <w:rPr>
          <w:rFonts w:ascii="仿宋" w:hAnsi="仿宋" w:eastAsia="仿宋"/>
          <w:sz w:val="32"/>
          <w:szCs w:val="32"/>
        </w:rPr>
      </w:pPr>
      <w:r>
        <w:rPr>
          <w:rFonts w:hint="eastAsia" w:ascii="仿宋" w:hAnsi="仿宋" w:eastAsia="仿宋"/>
          <w:sz w:val="32"/>
          <w:szCs w:val="32"/>
        </w:rPr>
        <w:t>淄高新应急发[</w:t>
      </w:r>
      <w:r>
        <w:rPr>
          <w:rFonts w:ascii="仿宋" w:hAnsi="仿宋" w:eastAsia="仿宋"/>
          <w:sz w:val="32"/>
          <w:szCs w:val="32"/>
        </w:rPr>
        <w:t>20</w:t>
      </w:r>
      <w:r>
        <w:rPr>
          <w:rFonts w:hint="eastAsia" w:ascii="仿宋" w:hAnsi="仿宋" w:eastAsia="仿宋"/>
          <w:sz w:val="32"/>
          <w:szCs w:val="32"/>
        </w:rPr>
        <w:t>21]9号</w:t>
      </w:r>
    </w:p>
    <w:p>
      <w:pPr>
        <w:spacing w:line="520" w:lineRule="exact"/>
        <w:jc w:val="center"/>
        <w:rPr>
          <w:rFonts w:ascii="华文中宋" w:hAnsi="华文中宋" w:eastAsia="华文中宋"/>
          <w:bCs/>
          <w:sz w:val="44"/>
          <w:szCs w:val="44"/>
        </w:rPr>
      </w:pPr>
    </w:p>
    <w:p>
      <w:pPr>
        <w:pStyle w:val="7"/>
        <w:widowControl/>
        <w:spacing w:beforeAutospacing="0" w:afterAutospacing="0" w:line="560" w:lineRule="exact"/>
        <w:jc w:val="center"/>
        <w:rPr>
          <w:rFonts w:hint="default" w:ascii="方正小标宋简体" w:hAnsi="方正小标宋简体" w:eastAsia="方正小标宋简体" w:cs="方正小标宋简体"/>
          <w:b w:val="0"/>
          <w:bCs/>
          <w:sz w:val="44"/>
          <w:szCs w:val="44"/>
        </w:rPr>
      </w:pPr>
      <w:r>
        <w:rPr>
          <w:rFonts w:ascii="方正小标宋简体" w:hAnsi="方正小标宋简体" w:eastAsia="方正小标宋简体" w:cs="方正小标宋简体"/>
          <w:b w:val="0"/>
          <w:bCs/>
          <w:sz w:val="44"/>
          <w:szCs w:val="44"/>
        </w:rPr>
        <w:t>关于印发《淄博高新区非煤矿山安全生产隐患</w:t>
      </w:r>
    </w:p>
    <w:p>
      <w:pPr>
        <w:pStyle w:val="7"/>
        <w:widowControl/>
        <w:spacing w:beforeAutospacing="0" w:afterAutospacing="0" w:line="560" w:lineRule="exact"/>
        <w:jc w:val="center"/>
        <w:rPr>
          <w:rFonts w:hint="default" w:ascii="方正小标宋简体" w:hAnsi="方正小标宋简体" w:eastAsia="方正小标宋简体" w:cs="方正小标宋简体"/>
          <w:b w:val="0"/>
          <w:bCs/>
          <w:sz w:val="44"/>
          <w:szCs w:val="44"/>
        </w:rPr>
      </w:pPr>
      <w:r>
        <w:rPr>
          <w:rFonts w:ascii="方正小标宋简体" w:hAnsi="方正小标宋简体" w:eastAsia="方正小标宋简体" w:cs="方正小标宋简体"/>
          <w:b w:val="0"/>
          <w:bCs/>
          <w:sz w:val="44"/>
          <w:szCs w:val="44"/>
        </w:rPr>
        <w:t>大排查快整治严执法专项行动</w:t>
      </w:r>
    </w:p>
    <w:p>
      <w:pPr>
        <w:spacing w:line="500" w:lineRule="exact"/>
        <w:jc w:val="center"/>
        <w:rPr>
          <w:rFonts w:ascii="方正小标宋简体" w:hAnsi="方正小标宋简体" w:eastAsia="方正小标宋简体" w:cs="方正小标宋简体"/>
          <w:sz w:val="44"/>
          <w:szCs w:val="44"/>
        </w:rPr>
      </w:pPr>
      <w:r>
        <w:rPr>
          <w:rFonts w:ascii="方正小标宋简体" w:hAnsi="方正小标宋简体" w:eastAsia="方正小标宋简体" w:cs="方正小标宋简体"/>
          <w:bCs/>
          <w:sz w:val="44"/>
          <w:szCs w:val="44"/>
        </w:rPr>
        <w:t>实施方案》的通知</w:t>
      </w:r>
    </w:p>
    <w:p>
      <w:pPr>
        <w:spacing w:line="580" w:lineRule="exact"/>
        <w:jc w:val="left"/>
        <w:rPr>
          <w:rFonts w:ascii="仿宋" w:hAnsi="仿宋" w:eastAsia="仿宋"/>
          <w:sz w:val="32"/>
          <w:szCs w:val="32"/>
        </w:rPr>
      </w:pPr>
    </w:p>
    <w:p>
      <w:pPr>
        <w:widowControl/>
        <w:spacing w:line="560" w:lineRule="exact"/>
        <w:jc w:val="left"/>
        <w:rPr>
          <w:rFonts w:ascii="仿宋_GB2312" w:hAnsi="宋体" w:eastAsia="仿宋_GB2312" w:cs="宋体"/>
          <w:kern w:val="0"/>
          <w:sz w:val="32"/>
          <w:szCs w:val="32"/>
          <w:lang w:bidi="ar"/>
        </w:rPr>
      </w:pPr>
      <w:r>
        <w:rPr>
          <w:rFonts w:hint="eastAsia" w:eastAsia="仿宋_GB2312"/>
          <w:sz w:val="32"/>
          <w:szCs w:val="32"/>
        </w:rPr>
        <w:t>各有关单位：</w:t>
      </w:r>
    </w:p>
    <w:p>
      <w:pPr>
        <w:spacing w:line="560" w:lineRule="exact"/>
        <w:ind w:firstLine="640" w:firstLineChars="200"/>
        <w:jc w:val="left"/>
        <w:rPr>
          <w:rFonts w:eastAsia="仿宋_GB2312"/>
          <w:sz w:val="32"/>
          <w:szCs w:val="32"/>
        </w:rPr>
      </w:pPr>
      <w:r>
        <w:rPr>
          <w:rFonts w:hint="eastAsia" w:eastAsia="仿宋_GB2312"/>
          <w:sz w:val="32"/>
          <w:szCs w:val="32"/>
        </w:rPr>
        <w:t>现将《淄博高新区非煤矿山安全生产隐患大排查快整治严执法专项行动实施方案》印发给你们，请结合实际认真贯彻落实。</w:t>
      </w:r>
    </w:p>
    <w:p>
      <w:pPr>
        <w:pStyle w:val="2"/>
        <w:spacing w:after="0" w:line="560" w:lineRule="exact"/>
        <w:ind w:left="0" w:leftChars="0" w:firstLine="0" w:firstLineChars="0"/>
        <w:rPr>
          <w:rFonts w:eastAsia="仿宋_GB2312"/>
          <w:sz w:val="32"/>
          <w:szCs w:val="32"/>
        </w:rPr>
      </w:pPr>
    </w:p>
    <w:p>
      <w:pPr>
        <w:widowControl/>
        <w:spacing w:line="560" w:lineRule="exact"/>
        <w:ind w:firstLine="640" w:firstLineChars="200"/>
        <w:jc w:val="left"/>
        <w:rPr>
          <w:rFonts w:eastAsia="仿宋_GB2312"/>
          <w:sz w:val="32"/>
          <w:szCs w:val="32"/>
        </w:rPr>
      </w:pPr>
    </w:p>
    <w:p>
      <w:pPr>
        <w:widowControl/>
        <w:wordWrap w:val="0"/>
        <w:spacing w:line="560" w:lineRule="exact"/>
        <w:jc w:val="right"/>
        <w:rPr>
          <w:rFonts w:eastAsia="仿宋_GB2312"/>
          <w:sz w:val="32"/>
          <w:szCs w:val="32"/>
        </w:rPr>
      </w:pPr>
      <w:r>
        <w:rPr>
          <w:rFonts w:hint="eastAsia" w:eastAsia="仿宋_GB2312"/>
          <w:sz w:val="32"/>
          <w:szCs w:val="32"/>
        </w:rPr>
        <w:t xml:space="preserve">淄博高新技术开发区应急管理中心        </w:t>
      </w:r>
    </w:p>
    <w:p>
      <w:pPr>
        <w:pStyle w:val="2"/>
      </w:pPr>
      <w:r>
        <w:rPr>
          <w:rFonts w:hint="eastAsia"/>
        </w:rPr>
        <w:t xml:space="preserve"> </w:t>
      </w:r>
      <w:r>
        <w:t xml:space="preserve">         </w:t>
      </w:r>
      <w:r>
        <w:rPr>
          <w:rFonts w:hint="eastAsia" w:eastAsia="仿宋_GB2312"/>
          <w:sz w:val="32"/>
          <w:szCs w:val="32"/>
        </w:rPr>
        <w:t>（淄博高新技术开发区安全生产监督管理局代章）</w:t>
      </w:r>
    </w:p>
    <w:p>
      <w:pPr>
        <w:widowControl/>
        <w:wordWrap w:val="0"/>
        <w:spacing w:line="560" w:lineRule="exact"/>
        <w:jc w:val="right"/>
        <w:rPr>
          <w:rFonts w:ascii="华文中宋" w:hAnsi="华文中宋" w:eastAsia="仿宋_GB2312"/>
          <w:sz w:val="32"/>
          <w:szCs w:val="32"/>
        </w:rPr>
      </w:pPr>
      <w:r>
        <w:rPr>
          <w:rFonts w:hint="eastAsia" w:ascii="仿宋_GB2312" w:eastAsia="仿宋_GB2312"/>
          <w:sz w:val="32"/>
          <w:szCs w:val="32"/>
        </w:rPr>
        <w:t xml:space="preserve">2021年1月27日             </w:t>
      </w:r>
    </w:p>
    <w:p>
      <w:pPr>
        <w:spacing w:line="560" w:lineRule="exact"/>
        <w:jc w:val="center"/>
        <w:rPr>
          <w:rFonts w:ascii="方正小标宋简体" w:hAnsi="方正小标宋简体" w:eastAsia="方正小标宋简体" w:cs="方正小标宋简体"/>
          <w:kern w:val="0"/>
          <w:sz w:val="44"/>
          <w:szCs w:val="44"/>
          <w:shd w:val="clear" w:color="auto" w:fill="FFFFFF"/>
          <w:lang w:bidi="ar"/>
        </w:rPr>
      </w:pPr>
      <w:r>
        <w:rPr>
          <w:rFonts w:hint="eastAsia" w:ascii="方正小标宋简体" w:hAnsi="方正小标宋简体" w:eastAsia="方正小标宋简体" w:cs="方正小标宋简体"/>
          <w:kern w:val="0"/>
          <w:sz w:val="44"/>
          <w:szCs w:val="44"/>
          <w:shd w:val="clear" w:color="auto" w:fill="FFFFFF"/>
          <w:lang w:bidi="ar"/>
        </w:rPr>
        <w:t>淄博高新区非煤矿山</w:t>
      </w: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安全生产隐患大排查快整治严执法专项行动</w:t>
      </w:r>
    </w:p>
    <w:p>
      <w:pPr>
        <w:spacing w:line="560" w:lineRule="exact"/>
        <w:jc w:val="center"/>
        <w:rPr>
          <w:rFonts w:ascii="方正小标宋简体" w:hAnsi="方正小标宋简体" w:eastAsia="方正小标宋简体" w:cs="方正小标宋简体"/>
          <w:sz w:val="44"/>
          <w:szCs w:val="44"/>
          <w:shd w:val="clear" w:color="auto" w:fill="FFFFFF"/>
        </w:rPr>
      </w:pPr>
      <w:r>
        <w:rPr>
          <w:rFonts w:hint="eastAsia" w:ascii="方正小标宋简体" w:hAnsi="方正小标宋简体" w:eastAsia="方正小标宋简体" w:cs="方正小标宋简体"/>
          <w:sz w:val="44"/>
          <w:szCs w:val="44"/>
        </w:rPr>
        <w:t>实施方案</w:t>
      </w:r>
    </w:p>
    <w:p>
      <w:pPr>
        <w:snapToGrid w:val="0"/>
        <w:spacing w:line="560" w:lineRule="exact"/>
        <w:ind w:firstLine="480" w:firstLineChars="150"/>
        <w:jc w:val="left"/>
        <w:rPr>
          <w:rFonts w:ascii="仿宋_GB2312" w:eastAsia="仿宋_GB2312"/>
          <w:sz w:val="32"/>
          <w:szCs w:val="32"/>
        </w:rPr>
      </w:pPr>
    </w:p>
    <w:p>
      <w:pPr>
        <w:pStyle w:val="88"/>
        <w:ind w:firstLine="640"/>
      </w:pPr>
      <w:r>
        <w:rPr>
          <w:rFonts w:hint="eastAsia"/>
        </w:rPr>
        <w:t>按照《淄博市非煤矿山安全生产隐患大排查快整治严执法专项行动实施方案》</w:t>
      </w:r>
      <w:r>
        <w:rPr>
          <w:rFonts w:hint="eastAsia" w:ascii="仿宋_GB2312"/>
        </w:rPr>
        <w:t>要求，</w:t>
      </w:r>
      <w:r>
        <w:t>2021年作为</w:t>
      </w:r>
      <w:r>
        <w:rPr>
          <w:rFonts w:hint="eastAsia"/>
        </w:rPr>
        <w:t>高新区</w:t>
      </w:r>
      <w:r>
        <w:t>安全生产专项整治三年行动安全隐患排查整治“落实突破年”，</w:t>
      </w:r>
      <w:r>
        <w:rPr>
          <w:rFonts w:cs="Times New Roman"/>
          <w:bCs/>
          <w:kern w:val="0"/>
        </w:rPr>
        <w:t>在</w:t>
      </w:r>
      <w:r>
        <w:rPr>
          <w:rFonts w:hint="eastAsia"/>
        </w:rPr>
        <w:t>高新区煤矿山</w:t>
      </w:r>
      <w:r>
        <w:t>开展大排查快整治严执法专项行动，</w:t>
      </w:r>
      <w:r>
        <w:rPr>
          <w:rFonts w:hint="eastAsia"/>
        </w:rPr>
        <w:t>现制定实施方案如下:</w:t>
      </w:r>
    </w:p>
    <w:p>
      <w:pPr>
        <w:snapToGrid w:val="0"/>
        <w:spacing w:line="560" w:lineRule="exact"/>
        <w:ind w:firstLine="569" w:firstLineChars="177"/>
        <w:outlineLvl w:val="0"/>
        <w:rPr>
          <w:rFonts w:ascii="黑体" w:hAnsi="黑体" w:eastAsia="黑体"/>
          <w:b/>
          <w:bCs/>
          <w:sz w:val="32"/>
          <w:szCs w:val="32"/>
        </w:rPr>
      </w:pPr>
      <w:r>
        <w:rPr>
          <w:rFonts w:hint="eastAsia" w:ascii="黑体" w:hAnsi="黑体" w:eastAsia="黑体"/>
          <w:b/>
          <w:bCs/>
          <w:sz w:val="32"/>
          <w:szCs w:val="32"/>
        </w:rPr>
        <w:t>一、总体要求</w:t>
      </w:r>
    </w:p>
    <w:p>
      <w:pPr>
        <w:snapToGrid w:val="0"/>
        <w:spacing w:line="560" w:lineRule="exact"/>
        <w:ind w:firstLine="640" w:firstLineChars="200"/>
        <w:rPr>
          <w:rFonts w:ascii="仿宋_GB2312" w:eastAsia="仿宋_GB2312"/>
          <w:sz w:val="32"/>
          <w:szCs w:val="32"/>
        </w:rPr>
      </w:pPr>
      <w:r>
        <w:rPr>
          <w:rFonts w:hint="eastAsia" w:ascii="仿宋_GB2312" w:hAnsi="仿宋_GB2312" w:eastAsia="仿宋_GB2312" w:cs="仿宋_GB2312"/>
          <w:bCs/>
          <w:kern w:val="0"/>
          <w:sz w:val="32"/>
          <w:szCs w:val="32"/>
        </w:rPr>
        <w:t>深入贯彻落实习近平总书记关于安全生产重要论述及系列重要讲话和批示指示精神，牢固树立以人为本、生命至上的安全发展理念；深刻吸取近期省内外事故教训，强化“居安思危”“隐患就是事故”“安全是最大效益”三种观念，集中开展非煤矿山安全生产隐患“大排查、快整治、严执法”专项行动，</w:t>
      </w:r>
      <w:r>
        <w:rPr>
          <w:rFonts w:hint="eastAsia" w:ascii="仿宋_GB2312" w:eastAsia="仿宋_GB2312"/>
          <w:sz w:val="32"/>
          <w:szCs w:val="32"/>
        </w:rPr>
        <w:t>严格落实企业安全生产隐患排查治理主体责任，彻底排查治理非煤矿山重大事故隐患，严惩违法违规行为，</w:t>
      </w:r>
      <w:r>
        <w:rPr>
          <w:rFonts w:hint="eastAsia" w:ascii="仿宋_GB2312" w:hAnsi="仿宋_GB2312" w:eastAsia="仿宋_GB2312" w:cs="仿宋_GB2312"/>
          <w:bCs/>
          <w:kern w:val="0"/>
          <w:sz w:val="32"/>
          <w:szCs w:val="32"/>
        </w:rPr>
        <w:t>采取断然措施，集中排查，重点攻坚，铁腕整治，</w:t>
      </w:r>
      <w:r>
        <w:rPr>
          <w:rFonts w:hint="eastAsia" w:ascii="仿宋_GB2312" w:eastAsia="仿宋_GB2312"/>
          <w:sz w:val="32"/>
          <w:szCs w:val="32"/>
        </w:rPr>
        <w:t>有效推动全市非煤矿山安全生产形势持续稳定</w:t>
      </w:r>
      <w:r>
        <w:rPr>
          <w:rFonts w:ascii="Times New Roman" w:hAnsi="Times New Roman" w:eastAsia="仿宋_GB2312" w:cs="Times New Roman"/>
          <w:bCs/>
          <w:kern w:val="0"/>
          <w:sz w:val="32"/>
          <w:szCs w:val="32"/>
        </w:rPr>
        <w:t>。</w:t>
      </w:r>
    </w:p>
    <w:p>
      <w:pPr>
        <w:snapToGrid w:val="0"/>
        <w:spacing w:line="560" w:lineRule="exact"/>
        <w:ind w:firstLine="569" w:firstLineChars="177"/>
        <w:outlineLvl w:val="0"/>
        <w:rPr>
          <w:rFonts w:ascii="黑体" w:hAnsi="黑体" w:eastAsia="黑体"/>
          <w:b/>
          <w:bCs/>
          <w:sz w:val="32"/>
          <w:szCs w:val="32"/>
        </w:rPr>
      </w:pPr>
      <w:r>
        <w:rPr>
          <w:rFonts w:hint="eastAsia" w:ascii="黑体" w:hAnsi="黑体" w:eastAsia="黑体"/>
          <w:b/>
          <w:bCs/>
          <w:sz w:val="32"/>
          <w:szCs w:val="32"/>
        </w:rPr>
        <w:t>二、整治重点</w:t>
      </w:r>
    </w:p>
    <w:p>
      <w:pPr>
        <w:snapToGrid w:val="0"/>
        <w:spacing w:line="56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（一）共性整治重点</w:t>
      </w:r>
    </w:p>
    <w:p>
      <w:pPr>
        <w:snapToGrid w:val="0"/>
        <w:spacing w:line="560" w:lineRule="exact"/>
        <w:ind w:firstLine="643" w:firstLineChars="200"/>
        <w:outlineLvl w:val="2"/>
        <w:rPr>
          <w:rFonts w:ascii="仿宋_GB2312" w:hAnsi="仿宋_GB2312" w:eastAsia="仿宋_GB2312" w:cs="仿宋_GB2312"/>
          <w:sz w:val="32"/>
          <w:szCs w:val="32"/>
        </w:rPr>
      </w:pPr>
      <w:r>
        <w:rPr>
          <w:rFonts w:hint="eastAsia" w:ascii="仿宋_GB2312" w:hAnsi="仿宋_GB2312" w:eastAsia="仿宋_GB2312" w:cs="仿宋_GB2312"/>
          <w:b/>
          <w:bCs/>
          <w:sz w:val="32"/>
          <w:szCs w:val="32"/>
        </w:rPr>
        <w:t>1.安全意识不强问题</w:t>
      </w:r>
    </w:p>
    <w:p>
      <w:pPr>
        <w:snapToGrid w:val="0"/>
        <w:spacing w:line="560" w:lineRule="exact"/>
        <w:ind w:firstLine="643" w:firstLineChars="200"/>
        <w:rPr>
          <w:rFonts w:ascii="仿宋" w:hAnsi="仿宋" w:eastAsia="仿宋" w:cs="仿宋"/>
          <w:sz w:val="32"/>
          <w:szCs w:val="32"/>
        </w:rPr>
      </w:pPr>
      <w:r>
        <w:rPr>
          <w:rFonts w:hint="eastAsia" w:ascii="仿宋_GB2312" w:hAnsi="仿宋_GB2312" w:eastAsia="仿宋_GB2312" w:cs="仿宋_GB2312"/>
          <w:b/>
          <w:bCs/>
          <w:sz w:val="32"/>
          <w:szCs w:val="32"/>
        </w:rPr>
        <w:t>重点整治：</w:t>
      </w:r>
      <w:r>
        <w:rPr>
          <w:rFonts w:hint="eastAsia" w:ascii="仿宋_GB2312" w:hAnsi="仿宋_GB2312" w:eastAsia="仿宋_GB2312" w:cs="仿宋_GB2312"/>
          <w:sz w:val="32"/>
          <w:szCs w:val="32"/>
        </w:rPr>
        <w:t>红线意识和底线思维不入脑、不入心，风险意识、安全发展理念淡薄，管控风险能力、隐患排查治理内生动力不足，不积极主动排查整改自身存在的事故隐患，甚至对一线岗位人员“三违”行为习以为常；外包项目以包代管或包而不管等。</w:t>
      </w:r>
    </w:p>
    <w:p>
      <w:pPr>
        <w:snapToGrid w:val="0"/>
        <w:spacing w:line="56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重点检查：</w:t>
      </w:r>
      <w:r>
        <w:rPr>
          <w:rFonts w:hint="eastAsia" w:ascii="仿宋_GB2312" w:hAnsi="仿宋_GB2312" w:eastAsia="仿宋_GB2312" w:cs="仿宋_GB2312"/>
          <w:sz w:val="32"/>
          <w:szCs w:val="32"/>
        </w:rPr>
        <w:t>（1）主要负责人安全生产责任落实情况；（2）设立安全生产管理机构、安全生产委员会、安全总监和安全生产管理人员配备情况；（3）建立健全安全生产责任制、安全生产规章制度、事故隐患排查制度、操作规程和开展安全标准化情况；（4）安全生产费用提取和使用、参加安全生产责任保险情况；（5）与承包、承租单位签订安全生产管理协议和安全生产管理职责约定情况；（6）按照规定实施“机械化换人、自动化减人”计划，加快工业机器人和智能装备应用，减少10人以上危险作业场所情况；（7）强化企业安全生产信息化建设，推动大数据、云计算等现代信息技术在日常管理、隐患治理、监测预警、培训教育等方面的应用，提高安全生产保障能力情况；（8）加强从业人员劳动保护，配齐并督促从业人员正确佩戴和使用符合国家或行业标准的安全防护用品情况。</w:t>
      </w:r>
    </w:p>
    <w:p>
      <w:pPr>
        <w:snapToGrid w:val="0"/>
        <w:spacing w:line="560" w:lineRule="exact"/>
        <w:ind w:firstLine="643" w:firstLineChars="200"/>
        <w:outlineLvl w:val="2"/>
        <w:rPr>
          <w:rFonts w:ascii="仿宋_GB2312" w:hAnsi="仿宋_GB2312" w:eastAsia="仿宋_GB2312" w:cs="仿宋_GB2312"/>
          <w:sz w:val="32"/>
          <w:szCs w:val="32"/>
        </w:rPr>
      </w:pPr>
      <w:r>
        <w:rPr>
          <w:rFonts w:hint="eastAsia" w:ascii="仿宋_GB2312" w:hAnsi="仿宋_GB2312" w:eastAsia="仿宋_GB2312" w:cs="仿宋_GB2312"/>
          <w:b/>
          <w:bCs/>
          <w:sz w:val="32"/>
          <w:szCs w:val="32"/>
        </w:rPr>
        <w:t>2.双重预防体系建设运行质量不高问题</w:t>
      </w:r>
    </w:p>
    <w:p>
      <w:pPr>
        <w:spacing w:line="56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重点整治：</w:t>
      </w:r>
      <w:r>
        <w:rPr>
          <w:rFonts w:hint="eastAsia" w:ascii="仿宋_GB2312" w:hAnsi="仿宋_GB2312" w:eastAsia="仿宋_GB2312" w:cs="仿宋_GB2312"/>
          <w:sz w:val="32"/>
          <w:szCs w:val="32"/>
        </w:rPr>
        <w:t>是否健全完善企业安全风险防控机制，是否定期对生产工艺、设备设施、作业环境、人员行为和管理体系等方面进行全方位、全过程排查。是否建立安全风险管控制度，明确管控重点、管控机构、责任人员和技术改造、经营管理、培训教育、安全防护和应急处置等管控措施。是否建立安全风险警示制度，在醒目位置和重点区域分别设置安全风险公告栏，制作岗位安全风险告知卡。是否加强重大危险源管理，采用先进技术手段对重大危险源实施现场动态监控，定期对设施、设备进行检测、检验。是否建立健全以风险辨识管控为基础的隐患排查治理制度，制定符合企业实际的隐患排查治理清单，推动全员参与自主排查隐患。</w:t>
      </w:r>
    </w:p>
    <w:p>
      <w:pPr>
        <w:snapToGrid w:val="0"/>
        <w:spacing w:line="56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重点检查：</w:t>
      </w:r>
      <w:r>
        <w:rPr>
          <w:rFonts w:hint="eastAsia" w:ascii="仿宋_GB2312" w:hAnsi="仿宋_GB2312" w:eastAsia="仿宋_GB2312" w:cs="仿宋_GB2312"/>
          <w:sz w:val="32"/>
          <w:szCs w:val="32"/>
        </w:rPr>
        <w:t>（1）双重预防体系建设组织机构及其人员组成和职责分工情况；（2）双重预防体系建设培训计划、内容的符合性及落实情况；（3）风险点划分和岗位危险因素辨识情况；（4）风险分级管控制度、隐患排查治理制度、考核奖惩制度、安全风险公告制度建立和执行情况；（5）公司、部门、车间、班组和一线岗位风险管控措施符合性、针对性、实用性；（6）各岗位隐患排查内容、责任落实情况；（7）排查出的事故隐患治理和验收情况；（8）双重预防体系建设评审和更新情况。</w:t>
      </w:r>
    </w:p>
    <w:p>
      <w:pPr>
        <w:snapToGrid w:val="0"/>
        <w:spacing w:line="560" w:lineRule="exact"/>
        <w:ind w:firstLine="643" w:firstLineChars="200"/>
        <w:outlineLvl w:val="2"/>
        <w:rPr>
          <w:rFonts w:ascii="仿宋_GB2312" w:hAnsi="仿宋_GB2312" w:eastAsia="仿宋_GB2312" w:cs="仿宋_GB2312"/>
          <w:sz w:val="32"/>
          <w:szCs w:val="32"/>
        </w:rPr>
      </w:pPr>
      <w:r>
        <w:rPr>
          <w:rFonts w:hint="eastAsia" w:ascii="仿宋_GB2312" w:hAnsi="仿宋_GB2312" w:eastAsia="仿宋_GB2312" w:cs="仿宋_GB2312"/>
          <w:b/>
          <w:bCs/>
          <w:sz w:val="32"/>
          <w:szCs w:val="32"/>
        </w:rPr>
        <w:t>3.预案管理和应急保障、演练不到位问题</w:t>
      </w:r>
    </w:p>
    <w:p>
      <w:pPr>
        <w:snapToGrid w:val="0"/>
        <w:spacing w:line="56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重点整治：</w:t>
      </w:r>
      <w:r>
        <w:rPr>
          <w:rFonts w:hint="eastAsia" w:ascii="仿宋_GB2312" w:hAnsi="仿宋_GB2312" w:eastAsia="仿宋_GB2312" w:cs="仿宋_GB2312"/>
          <w:sz w:val="32"/>
          <w:szCs w:val="32"/>
        </w:rPr>
        <w:t>综合性应急预案和专项预案针对性不强，并与所在地政府预案相衔接；实战化、常态化演练不足，应急物资、装备、经费、人员、技术等各方面的保障未落实到位；预案培训和逃生自救常识培训针对性不强。</w:t>
      </w:r>
    </w:p>
    <w:p>
      <w:pPr>
        <w:snapToGrid w:val="0"/>
        <w:spacing w:line="56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重点检查：</w:t>
      </w:r>
      <w:r>
        <w:rPr>
          <w:rFonts w:hint="eastAsia" w:ascii="仿宋_GB2312" w:hAnsi="仿宋_GB2312" w:eastAsia="仿宋_GB2312" w:cs="仿宋_GB2312"/>
          <w:sz w:val="32"/>
          <w:szCs w:val="32"/>
        </w:rPr>
        <w:t>（1）应急预案制定、备案、修订情况和重点岗位应急处置卡编制情况；（2）建立应急救援队伍或签订救援协议情况；（3）建立应急值班制度和应急值班人员配备情况；（4）制定应急演练计划及实战化、常态化演练情况和演练效果评估、改进、修订情况；（5）配备应急救援物资、器材、装备及维护、保养、使用情况。</w:t>
      </w:r>
    </w:p>
    <w:p>
      <w:pPr>
        <w:snapToGrid w:val="0"/>
        <w:spacing w:line="560" w:lineRule="exact"/>
        <w:ind w:firstLine="643" w:firstLineChars="200"/>
        <w:outlineLvl w:val="2"/>
        <w:rPr>
          <w:rFonts w:ascii="仿宋_GB2312" w:hAnsi="仿宋_GB2312" w:eastAsia="仿宋_GB2312" w:cs="仿宋_GB2312"/>
          <w:sz w:val="32"/>
          <w:szCs w:val="32"/>
        </w:rPr>
      </w:pPr>
      <w:r>
        <w:rPr>
          <w:rFonts w:hint="eastAsia" w:ascii="仿宋_GB2312" w:hAnsi="仿宋_GB2312" w:eastAsia="仿宋_GB2312" w:cs="仿宋_GB2312"/>
          <w:b/>
          <w:bCs/>
          <w:sz w:val="32"/>
          <w:szCs w:val="32"/>
        </w:rPr>
        <w:t>4.安全培训不到位问题</w:t>
      </w:r>
    </w:p>
    <w:p>
      <w:pPr>
        <w:snapToGrid w:val="0"/>
        <w:spacing w:line="56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重点整治：</w:t>
      </w:r>
      <w:r>
        <w:rPr>
          <w:rFonts w:hint="eastAsia" w:ascii="仿宋_GB2312" w:hAnsi="仿宋_GB2312" w:eastAsia="仿宋_GB2312" w:cs="仿宋_GB2312"/>
          <w:sz w:val="32"/>
          <w:szCs w:val="32"/>
        </w:rPr>
        <w:t>安全培训内容针对性差，考核随意，不按规定落实全员培训，考核不严格；特种作业人员未持证上岗，主要负责人和安全管理人员安全安全管理能力不强，“三违”问题突出，新入职员工未经过实操培训车间培训并考核合格后再进入生产岗位，一线从业人员未每年进入实操培训车间复训。</w:t>
      </w:r>
    </w:p>
    <w:p>
      <w:pPr>
        <w:snapToGrid w:val="0"/>
        <w:spacing w:line="56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重点检查：</w:t>
      </w:r>
      <w:r>
        <w:rPr>
          <w:rFonts w:hint="eastAsia" w:ascii="仿宋_GB2312" w:hAnsi="仿宋_GB2312" w:eastAsia="仿宋_GB2312" w:cs="仿宋_GB2312"/>
          <w:sz w:val="32"/>
          <w:szCs w:val="32"/>
        </w:rPr>
        <w:t>（1）主要负责人分层次、分类别、分岗位制定年度培训计划及实施情况；（2）培训经费列支、使用情况；（3）特种作业人员培训档案建立及管理情况；（4）从业人员培训考试及持证上岗情况；（5）“三类人员”持证上岗情况。</w:t>
      </w:r>
    </w:p>
    <w:p>
      <w:pPr>
        <w:snapToGrid w:val="0"/>
        <w:spacing w:line="56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（二）专项整治重点</w:t>
      </w:r>
    </w:p>
    <w:p>
      <w:pPr>
        <w:snapToGrid w:val="0"/>
        <w:spacing w:line="560" w:lineRule="exact"/>
        <w:ind w:firstLine="569" w:firstLineChars="177"/>
        <w:outlineLvl w:val="2"/>
        <w:rPr>
          <w:rFonts w:ascii="仿宋_GB2312" w:hAnsi="仿宋_GB2312" w:eastAsia="仿宋_GB2312" w:cs="仿宋_GB2312"/>
          <w:b/>
          <w:bCs/>
          <w:kern w:val="0"/>
          <w:sz w:val="32"/>
          <w:szCs w:val="32"/>
        </w:rPr>
      </w:pPr>
      <w:r>
        <w:rPr>
          <w:rFonts w:hint="eastAsia" w:ascii="仿宋_GB2312" w:hAnsi="仿宋_GB2312" w:eastAsia="仿宋_GB2312" w:cs="仿宋_GB2312"/>
          <w:b/>
          <w:bCs/>
          <w:kern w:val="0"/>
          <w:sz w:val="32"/>
          <w:szCs w:val="32"/>
        </w:rPr>
        <w:t>1.地下矿山</w:t>
      </w:r>
    </w:p>
    <w:p>
      <w:pPr>
        <w:snapToGrid w:val="0"/>
        <w:spacing w:line="560" w:lineRule="exact"/>
        <w:ind w:firstLine="569" w:firstLineChars="177"/>
        <w:rPr>
          <w:rFonts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重点整治：</w:t>
      </w:r>
      <w:r>
        <w:rPr>
          <w:rFonts w:hint="eastAsia" w:ascii="仿宋_GB2312" w:hAnsi="仿宋_GB2312" w:eastAsia="仿宋_GB2312" w:cs="仿宋_GB2312"/>
          <w:kern w:val="0"/>
          <w:sz w:val="32"/>
          <w:szCs w:val="32"/>
        </w:rPr>
        <w:t>提升运输、通风、采空区充填、防排水等关键环节风险管控措施不落实、隐患排查治理不彻底；井下人员定位、通信联络等安全避险系统不符合规范规定、无法正常使用，尤其是未实现有线通信和无线通信信号全覆盖。</w:t>
      </w:r>
    </w:p>
    <w:p>
      <w:pPr>
        <w:snapToGrid w:val="0"/>
        <w:spacing w:line="560" w:lineRule="exact"/>
        <w:ind w:firstLine="569" w:firstLineChars="177"/>
        <w:rPr>
          <w:rFonts w:ascii="仿宋_GB2312" w:hAnsi="仿宋_GB2312" w:eastAsia="仿宋_GB2312" w:cs="仿宋_GB2312"/>
          <w:sz w:val="32"/>
          <w:szCs w:val="32"/>
        </w:rPr>
      </w:pPr>
      <w:r>
        <w:rPr>
          <w:rFonts w:hint="eastAsia" w:ascii="仿宋_GB2312" w:hAnsi="仿宋_GB2312" w:eastAsia="仿宋_GB2312" w:cs="仿宋_GB2312"/>
          <w:b/>
          <w:bCs/>
          <w:kern w:val="0"/>
          <w:sz w:val="32"/>
          <w:szCs w:val="32"/>
        </w:rPr>
        <w:t>重点检查：</w:t>
      </w:r>
      <w:r>
        <w:rPr>
          <w:rFonts w:hint="eastAsia" w:ascii="仿宋_GB2312" w:hAnsi="仿宋_GB2312" w:eastAsia="仿宋_GB2312" w:cs="仿宋_GB2312"/>
          <w:kern w:val="0"/>
          <w:sz w:val="32"/>
          <w:szCs w:val="32"/>
        </w:rPr>
        <w:t>（1）安全设施“三同时”落实情况；（2）掘进工作面和通风不良的采场局扇安装情况，风速、风质、风量、风压等检测仪表设置和维护情况；（3）下井人员自救器和便携式气体检测报警仪配备情况；（4）国家明令禁止使用的设备和工艺淘汰情况；（5）使用电炉和灯泡防潮、烘烤和采暖情况及</w:t>
      </w:r>
      <w:r>
        <w:rPr>
          <w:rFonts w:hint="eastAsia" w:ascii="仿宋_GB2312" w:hAnsi="仿宋_GB2312" w:eastAsia="仿宋_GB2312" w:cs="仿宋_GB2312"/>
          <w:sz w:val="32"/>
          <w:szCs w:val="32"/>
        </w:rPr>
        <w:t>动火作业审批制度落实情况；（6）存在水害威胁的矿山，建立水害防治机构、制度和汛期应急预案编制情况；编制探水设计及防范措施落实情况；（7）提升系统的阻车器、过卷保护、防坠及闭锁连锁等装置设置和维护情况；（8）有严重地压活动的矿山，建立地压监测管理机构情况，采空区充填时限及充填质量情况。（9）人员定位、通信联络、监测监控、压风自救、供水施救等系统完好及使用情况；（10）所有巷道和采掘工作面、井底车场、提升机房、变电室、水泵房等关键岗位，人员定位信号和通信信号覆盖情况，井下作业人员通信终端配备情况；（11）中央调度室与井下任意地点、作业人员实时通话对讲、视频传输情况。</w:t>
      </w:r>
    </w:p>
    <w:p>
      <w:pPr>
        <w:snapToGrid w:val="0"/>
        <w:spacing w:line="560" w:lineRule="exact"/>
        <w:ind w:firstLine="643" w:firstLineChars="200"/>
        <w:outlineLvl w:val="2"/>
        <w:rPr>
          <w:rFonts w:ascii="仿宋_GB2312" w:hAnsi="仿宋_GB2312" w:eastAsia="仿宋_GB2312" w:cs="仿宋_GB2312"/>
          <w:sz w:val="32"/>
          <w:szCs w:val="32"/>
        </w:rPr>
      </w:pPr>
      <w:r>
        <w:rPr>
          <w:rFonts w:hint="eastAsia" w:ascii="仿宋_GB2312" w:hAnsi="仿宋_GB2312" w:eastAsia="仿宋_GB2312" w:cs="仿宋_GB2312"/>
          <w:b/>
          <w:bCs/>
          <w:sz w:val="32"/>
          <w:szCs w:val="32"/>
        </w:rPr>
        <w:t>2.</w:t>
      </w:r>
      <w:r>
        <w:rPr>
          <w:rFonts w:hint="eastAsia" w:ascii="仿宋_GB2312" w:hAnsi="仿宋_GB2312" w:eastAsia="仿宋_GB2312" w:cs="仿宋_GB2312"/>
          <w:b/>
          <w:bCs/>
          <w:kern w:val="0"/>
          <w:sz w:val="32"/>
          <w:szCs w:val="32"/>
        </w:rPr>
        <w:t>尾矿库</w:t>
      </w:r>
    </w:p>
    <w:p>
      <w:pPr>
        <w:overflowPunct w:val="0"/>
        <w:spacing w:line="560" w:lineRule="exact"/>
        <w:ind w:firstLine="643"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重点整治：</w:t>
      </w:r>
      <w:r>
        <w:rPr>
          <w:rFonts w:hint="eastAsia" w:ascii="仿宋_GB2312" w:hAnsi="仿宋_GB2312" w:eastAsia="仿宋_GB2312" w:cs="仿宋_GB2312"/>
          <w:kern w:val="0"/>
          <w:sz w:val="32"/>
          <w:szCs w:val="32"/>
        </w:rPr>
        <w:t>擅自加高坝体，坝体外坡坡比、库水位、筑坝方式、干滩长度、排尾方式不符合设计要求；三等及以上尾矿库线监测系统未安装或运行不正常，头顶库未按《淄博市防范化解尾矿库安全风险工作实施方案》要求</w:t>
      </w:r>
      <w:r>
        <w:rPr>
          <w:rFonts w:hint="eastAsia" w:ascii="仿宋_GB2312" w:hAnsi="仿宋_GB2312" w:eastAsia="仿宋_GB2312" w:cs="仿宋_GB2312"/>
          <w:kern w:val="0"/>
          <w:sz w:val="32"/>
          <w:szCs w:val="32"/>
          <w:lang w:bidi="ar"/>
        </w:rPr>
        <w:t>完善治理方案和</w:t>
      </w:r>
      <w:r>
        <w:rPr>
          <w:rFonts w:hint="eastAsia" w:ascii="仿宋_GB2312" w:hAnsi="仿宋_GB2312" w:eastAsia="仿宋_GB2312" w:cs="仿宋_GB2312"/>
          <w:kern w:val="0"/>
          <w:sz w:val="32"/>
          <w:szCs w:val="32"/>
        </w:rPr>
        <w:t>年度</w:t>
      </w:r>
      <w:r>
        <w:rPr>
          <w:rFonts w:hint="eastAsia" w:ascii="仿宋_GB2312" w:hAnsi="仿宋_GB2312" w:eastAsia="仿宋_GB2312" w:cs="仿宋_GB2312"/>
          <w:kern w:val="0"/>
          <w:sz w:val="32"/>
          <w:szCs w:val="32"/>
          <w:lang w:bidi="ar"/>
        </w:rPr>
        <w:t>安全风险评估</w:t>
      </w:r>
      <w:r>
        <w:rPr>
          <w:rFonts w:hint="eastAsia" w:ascii="仿宋_GB2312" w:hAnsi="仿宋_GB2312" w:eastAsia="仿宋_GB2312" w:cs="仿宋_GB2312"/>
          <w:kern w:val="0"/>
          <w:sz w:val="32"/>
          <w:szCs w:val="32"/>
        </w:rPr>
        <w:t>等。</w:t>
      </w:r>
    </w:p>
    <w:p>
      <w:pPr>
        <w:snapToGrid w:val="0"/>
        <w:spacing w:line="560" w:lineRule="exact"/>
        <w:ind w:firstLine="643" w:firstLineChars="200"/>
        <w:rPr>
          <w:rFonts w:ascii="仿宋_GB2312" w:hAnsi="仿宋_GB2312" w:eastAsia="仿宋_GB2312" w:cs="仿宋_GB2312"/>
          <w:kern w:val="0"/>
          <w:sz w:val="32"/>
          <w:szCs w:val="32"/>
        </w:rPr>
      </w:pPr>
      <w:r>
        <w:rPr>
          <w:rFonts w:hint="eastAsia" w:ascii="仿宋_GB2312" w:hAnsi="仿宋_GB2312" w:eastAsia="仿宋_GB2312" w:cs="仿宋_GB2312"/>
          <w:b/>
          <w:bCs/>
          <w:kern w:val="0"/>
          <w:sz w:val="32"/>
          <w:szCs w:val="32"/>
        </w:rPr>
        <w:t>重点检查：</w:t>
      </w:r>
      <w:r>
        <w:rPr>
          <w:rFonts w:hint="eastAsia" w:ascii="仿宋_GB2312" w:hAnsi="仿宋_GB2312" w:eastAsia="仿宋_GB2312" w:cs="仿宋_GB2312"/>
          <w:kern w:val="0"/>
          <w:sz w:val="32"/>
          <w:szCs w:val="32"/>
        </w:rPr>
        <w:t>（1）库内水位、</w:t>
      </w:r>
      <w:r>
        <w:rPr>
          <w:rFonts w:hint="eastAsia" w:ascii="仿宋_GB2312" w:hAnsi="仿宋_GB2312" w:eastAsia="仿宋_GB2312" w:cs="仿宋_GB2312"/>
          <w:sz w:val="32"/>
          <w:szCs w:val="32"/>
        </w:rPr>
        <w:t>安全超高、干滩长度、排洪设施、尾矿库浸润线埋深、坝体外坡坡比、排渗设施、调洪库容等与设计或规程的符合情况；（2）</w:t>
      </w:r>
      <w:r>
        <w:rPr>
          <w:rFonts w:hint="eastAsia" w:ascii="仿宋_GB2312" w:hAnsi="仿宋_GB2312" w:eastAsia="仿宋_GB2312" w:cs="仿宋_GB2312"/>
          <w:kern w:val="0"/>
          <w:sz w:val="32"/>
          <w:szCs w:val="32"/>
        </w:rPr>
        <w:t>尾矿坝滩顶高程是否满足冬季冰下放矿和回水的要求；排洪构筑物进水口、出水口结冰影响回水情况；（3）筑坝和排尾与设计符合情况；（4）三等以上尾矿库在线监测系统安装、使用、维护情况，</w:t>
      </w:r>
      <w:r>
        <w:rPr>
          <w:rFonts w:hint="eastAsia" w:ascii="仿宋_GB2312" w:hAnsi="仿宋_GB2312" w:eastAsia="仿宋_GB2312" w:cs="仿宋_GB2312"/>
          <w:sz w:val="32"/>
          <w:szCs w:val="32"/>
        </w:rPr>
        <w:t>四等以上尾矿库坝体位移观测设施和坝体浸润线观测设施设置和观测记录情况；上游式尾矿坝坝体勘察及稳定性专项评价情况；（5）</w:t>
      </w:r>
      <w:r>
        <w:rPr>
          <w:rFonts w:hint="eastAsia" w:ascii="仿宋_GB2312" w:hAnsi="仿宋_GB2312" w:eastAsia="仿宋_GB2312" w:cs="仿宋_GB2312"/>
          <w:kern w:val="0"/>
          <w:sz w:val="32"/>
          <w:szCs w:val="32"/>
        </w:rPr>
        <w:t>库区周围乱采、滥挖、非法爆破等活动情况；（6）外来尾矿、废石、废水和废弃物排入库内情况。（7）头项库治理方案和年度</w:t>
      </w:r>
      <w:r>
        <w:rPr>
          <w:rFonts w:hint="eastAsia" w:ascii="仿宋_GB2312" w:hAnsi="仿宋_GB2312" w:eastAsia="仿宋_GB2312" w:cs="仿宋_GB2312"/>
          <w:kern w:val="0"/>
          <w:sz w:val="32"/>
          <w:szCs w:val="32"/>
          <w:lang w:bidi="ar"/>
        </w:rPr>
        <w:t>安全风险评估报告。</w:t>
      </w:r>
    </w:p>
    <w:p>
      <w:pPr>
        <w:snapToGrid w:val="0"/>
        <w:spacing w:line="56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（三）严打非法违法行为</w:t>
      </w:r>
    </w:p>
    <w:p>
      <w:pPr>
        <w:snapToGrid w:val="0"/>
        <w:spacing w:line="560" w:lineRule="exact"/>
        <w:ind w:firstLine="643" w:firstLineChars="200"/>
        <w:rPr>
          <w:rFonts w:ascii="仿宋_GB2312" w:hAnsi="Arial" w:eastAsia="仿宋_GB2312" w:cs="Arial"/>
          <w:kern w:val="0"/>
          <w:sz w:val="32"/>
          <w:szCs w:val="32"/>
        </w:rPr>
      </w:pPr>
      <w:r>
        <w:rPr>
          <w:rFonts w:hint="eastAsia" w:ascii="仿宋_GB2312" w:hAnsi="Arial" w:eastAsia="仿宋_GB2312" w:cs="Arial"/>
          <w:b/>
          <w:bCs/>
          <w:kern w:val="0"/>
          <w:sz w:val="32"/>
          <w:szCs w:val="32"/>
        </w:rPr>
        <w:t>重点打击：</w:t>
      </w:r>
      <w:r>
        <w:rPr>
          <w:rFonts w:hint="eastAsia" w:ascii="仿宋_GB2312" w:hAnsi="Arial" w:eastAsia="仿宋_GB2312" w:cs="Arial"/>
          <w:kern w:val="0"/>
          <w:sz w:val="32"/>
          <w:szCs w:val="32"/>
        </w:rPr>
        <w:t>（1）地下矿山超越矿区批准范围开采；基建矿山以采代建、明建暗采；不按设计施工、生产，突击生产和超能力、超强度、超定员生产行为。（2）尾矿库未批先建行为。（3）非法开采砂石资源行为。（4）使用国家明令淘汰、禁止使用的危及生产安全的工艺、设备等行为。</w:t>
      </w:r>
    </w:p>
    <w:p>
      <w:pPr>
        <w:snapToGrid w:val="0"/>
        <w:spacing w:line="560" w:lineRule="exact"/>
        <w:ind w:firstLine="569" w:firstLineChars="177"/>
        <w:outlineLvl w:val="0"/>
        <w:rPr>
          <w:rFonts w:ascii="黑体" w:hAnsi="黑体" w:eastAsia="黑体"/>
          <w:b/>
          <w:bCs/>
          <w:sz w:val="32"/>
          <w:szCs w:val="32"/>
        </w:rPr>
      </w:pPr>
      <w:r>
        <w:rPr>
          <w:rFonts w:hint="eastAsia" w:ascii="黑体" w:hAnsi="黑体" w:eastAsia="黑体"/>
          <w:b/>
          <w:bCs/>
          <w:sz w:val="32"/>
          <w:szCs w:val="32"/>
        </w:rPr>
        <w:t>三、方法步骤</w:t>
      </w:r>
    </w:p>
    <w:p>
      <w:pPr>
        <w:snapToGrid w:val="0"/>
        <w:spacing w:line="560" w:lineRule="exact"/>
        <w:ind w:firstLine="569" w:firstLineChars="177"/>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（一）动员部署阶段（2021年1月底前）</w:t>
      </w:r>
    </w:p>
    <w:p>
      <w:pPr>
        <w:snapToGrid w:val="0"/>
        <w:spacing w:line="560" w:lineRule="exact"/>
        <w:ind w:firstLine="566" w:firstLineChars="177"/>
        <w:rPr>
          <w:rFonts w:ascii="仿宋_GB2312" w:hAnsi="Arial" w:eastAsia="仿宋_GB2312" w:cs="Arial"/>
          <w:kern w:val="0"/>
          <w:sz w:val="32"/>
          <w:szCs w:val="32"/>
        </w:rPr>
      </w:pPr>
      <w:r>
        <w:rPr>
          <w:rFonts w:hint="eastAsia" w:ascii="仿宋_GB2312" w:hAnsi="Arial" w:eastAsia="仿宋_GB2312" w:cs="Arial"/>
          <w:kern w:val="0"/>
          <w:sz w:val="32"/>
          <w:szCs w:val="32"/>
        </w:rPr>
        <w:t>各单位要将非煤矿山</w:t>
      </w:r>
      <w:r>
        <w:rPr>
          <w:rFonts w:hint="eastAsia" w:ascii="仿宋_GB2312" w:eastAsia="仿宋_GB2312"/>
          <w:sz w:val="32"/>
          <w:szCs w:val="32"/>
        </w:rPr>
        <w:t>安全生产隐患大排查快整治严执法专项行动</w:t>
      </w:r>
      <w:r>
        <w:rPr>
          <w:rFonts w:hint="eastAsia" w:ascii="仿宋_GB2312" w:hAnsi="Arial" w:eastAsia="仿宋_GB2312" w:cs="Arial"/>
          <w:kern w:val="0"/>
          <w:sz w:val="32"/>
          <w:szCs w:val="32"/>
        </w:rPr>
        <w:t>与三年专项整治行动相衔接，深入分析本地区非煤矿山在安全生产方面存在的短板弱项，制定具体实施方案，明确职责分工，压实监管责任和企业隐患排查治理责任。</w:t>
      </w:r>
      <w:r>
        <w:rPr>
          <w:rFonts w:hint="eastAsia" w:ascii="仿宋_GB2312" w:eastAsia="仿宋_GB2312"/>
          <w:sz w:val="32"/>
          <w:szCs w:val="32"/>
        </w:rPr>
        <w:t>大排查快整治严执法专项行动期间，各阶段工作要压茬进行。</w:t>
      </w:r>
    </w:p>
    <w:p>
      <w:pPr>
        <w:snapToGrid w:val="0"/>
        <w:spacing w:line="560" w:lineRule="exact"/>
        <w:ind w:firstLine="569" w:firstLineChars="177"/>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（二）企业自查自纠阶段（2021年2月到10月底）</w:t>
      </w:r>
    </w:p>
    <w:p>
      <w:pPr>
        <w:overflowPunct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各企业要认真制定自查自纠工作方案，明确任务、目标、时限、方法、步骤及奖惩措施。要成立主要负责人任组长、分管负责人、部门负责人、车间主任、工段长、班组长参加的领导小组，细化职责分工，做到责任到人、任务到人。自查自纠工作方案由主要负责人签字、盖章后于2月3日前报高新区应急管理中心备案。</w:t>
      </w:r>
    </w:p>
    <w:p>
      <w:pPr>
        <w:overflowPunct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全面落实隐患排查治理主体责任，要结合《非煤矿山安全、现场作业管理执法检查表》（见附件）和本企业实际，按照双重预防体系运行要求，从基础管理、岗位风险管控和设备设施巡查、维护方面，进行全面彻底、不留死角的自查自纠。对排查出的安全隐患要登记建档，建立专门台账，逐项制定整改方案，按照责任、措施、资金、时限和预案“五落实”的要求，及时彻底整改。自查自纠和隐患整改情况要形成书面报告，由主要负责人签字、盖章后于每月15日、28日分别书面报送至高新区应急管理中心备案。专业技术力量不足的，要聘请专家或技术服务机构进行全方位全过程的“诊断式”检查，精准把脉，解决问题；也可根据需要提出专家需求，报市应急管理部门协调解决，确保实效。</w:t>
      </w:r>
    </w:p>
    <w:p>
      <w:pPr>
        <w:overflowPunct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加强应急预案实战性和常态化演练。年底前，要组织开展一次综合预案的实战性演练，演练结束后对演练效果进行分析评估，总结不足，修订完善应急预案，并将修订后的预案报属地应急管理部门备案；要不定期开展专项预案演练，锻炼员工实战能力，提高灾害自救能力。</w:t>
      </w:r>
    </w:p>
    <w:p>
      <w:pPr>
        <w:overflowPunct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及时汇总分析整治情况。企业安全领导小组要充分利用全体会议、车间会议、班前会等形式，认真汇总、分析本单位集中整治工作中存在的问题，研究针对性解决措施。主要负责人要在人力、物力、财力、技术等方面做好保障，及时通报工作进展情况，奖优罚劣，确保安全生产。</w:t>
      </w:r>
    </w:p>
    <w:p>
      <w:pPr>
        <w:snapToGrid w:val="0"/>
        <w:spacing w:line="560" w:lineRule="exact"/>
        <w:ind w:firstLine="569" w:firstLineChars="177"/>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（三）执法检查阶段（2021年2月－11月底）</w:t>
      </w:r>
    </w:p>
    <w:p>
      <w:pPr>
        <w:snapToGrid w:val="0"/>
        <w:spacing w:line="560" w:lineRule="exact"/>
        <w:ind w:firstLine="566" w:firstLineChars="177"/>
        <w:rPr>
          <w:rFonts w:ascii="仿宋_GB2312" w:eastAsia="仿宋_GB2312"/>
          <w:sz w:val="32"/>
          <w:szCs w:val="32"/>
        </w:rPr>
      </w:pPr>
      <w:r>
        <w:rPr>
          <w:rFonts w:hint="eastAsia" w:ascii="仿宋_GB2312" w:hAnsi="仿宋_GB2312" w:eastAsia="仿宋_GB2312" w:cs="仿宋_GB2312"/>
          <w:sz w:val="32"/>
          <w:szCs w:val="32"/>
        </w:rPr>
        <w:t>1.明确目标、周密部署。</w:t>
      </w:r>
      <w:r>
        <w:rPr>
          <w:rFonts w:hint="eastAsia" w:ascii="仿宋_GB2312" w:eastAsia="仿宋_GB2312"/>
          <w:sz w:val="32"/>
          <w:szCs w:val="32"/>
        </w:rPr>
        <w:t>要认真梳理分析企业上报的自查报告，按照全覆盖要求和监管职责，制定执法计划，确保每个企业检查一遍。</w:t>
      </w:r>
    </w:p>
    <w:p>
      <w:pPr>
        <w:snapToGrid w:val="0"/>
        <w:spacing w:line="560" w:lineRule="exact"/>
        <w:ind w:firstLine="566" w:firstLineChars="177"/>
        <w:rPr>
          <w:rFonts w:ascii="仿宋_GB2312" w:hAnsi="仿宋_GB2312" w:eastAsia="仿宋_GB2312" w:cs="仿宋_GB2312"/>
          <w:bCs/>
          <w:kern w:val="0"/>
          <w:sz w:val="32"/>
          <w:szCs w:val="32"/>
        </w:rPr>
      </w:pPr>
      <w:r>
        <w:rPr>
          <w:rFonts w:hint="eastAsia" w:ascii="仿宋_GB2312" w:eastAsia="仿宋_GB2312"/>
          <w:sz w:val="32"/>
          <w:szCs w:val="32"/>
        </w:rPr>
        <w:t>2.加大力度、严格检查。</w:t>
      </w:r>
      <w:r>
        <w:rPr>
          <w:rFonts w:hint="eastAsia" w:ascii="仿宋_GB2312" w:hAnsi="仿宋_GB2312" w:eastAsia="仿宋_GB2312" w:cs="仿宋_GB2312"/>
          <w:bCs/>
          <w:kern w:val="0"/>
          <w:sz w:val="32"/>
          <w:szCs w:val="32"/>
        </w:rPr>
        <w:t>根据《山东省生产经营单位安全生产主体责任规定》(省政府令第260号)、《关于强化企业安全生产主体责任落实的意见》（鲁应急发〔2019〕75号)和</w:t>
      </w:r>
      <w:r>
        <w:rPr>
          <w:rFonts w:hint="eastAsia" w:ascii="仿宋_GB2312" w:hAnsi="仿宋_GB2312" w:eastAsia="仿宋_GB2312" w:cs="仿宋_GB2312"/>
          <w:sz w:val="32"/>
          <w:szCs w:val="32"/>
        </w:rPr>
        <w:t>《非煤矿山安全、现场作业管理执法检查表》</w:t>
      </w:r>
      <w:r>
        <w:rPr>
          <w:rFonts w:hint="eastAsia" w:ascii="仿宋_GB2312" w:eastAsia="仿宋_GB2312"/>
          <w:sz w:val="32"/>
          <w:szCs w:val="32"/>
        </w:rPr>
        <w:t>，组织精干力量，对地下矿山、尾矿库开展执法检查。</w:t>
      </w:r>
      <w:r>
        <w:rPr>
          <w:rFonts w:hint="eastAsia" w:ascii="仿宋_GB2312" w:hAnsi="仿宋_GB2312" w:eastAsia="仿宋_GB2312" w:cs="仿宋_GB2312"/>
          <w:bCs/>
          <w:kern w:val="0"/>
          <w:sz w:val="32"/>
          <w:szCs w:val="32"/>
        </w:rPr>
        <w:t>各园区、街道、镇要落实属地监管责任，强化监督检查。对发现的各类非法违法行为要从严从重惩处，严格执行安全生产约束机制，落实安全生产约谈、通报、警示教育、“黑名单”“一票否决”等制度，</w:t>
      </w:r>
      <w:r>
        <w:rPr>
          <w:rFonts w:ascii="仿宋_GB2312" w:hAnsi="仿宋_GB2312" w:eastAsia="仿宋_GB2312" w:cs="仿宋_GB2312"/>
          <w:bCs/>
          <w:kern w:val="0"/>
          <w:sz w:val="32"/>
          <w:szCs w:val="32"/>
        </w:rPr>
        <w:t>大力强化“刑责治安”</w:t>
      </w:r>
      <w:r>
        <w:rPr>
          <w:rFonts w:hint="eastAsia" w:ascii="仿宋_GB2312" w:hAnsi="仿宋_GB2312" w:eastAsia="仿宋_GB2312" w:cs="仿宋_GB2312"/>
          <w:bCs/>
          <w:kern w:val="0"/>
          <w:sz w:val="32"/>
          <w:szCs w:val="32"/>
        </w:rPr>
        <w:t>。</w:t>
      </w:r>
    </w:p>
    <w:p>
      <w:pPr>
        <w:snapToGrid w:val="0"/>
        <w:spacing w:line="560" w:lineRule="exact"/>
        <w:ind w:firstLine="566" w:firstLineChars="177"/>
        <w:rPr>
          <w:rFonts w:ascii="仿宋_GB2312" w:eastAsia="仿宋_GB2312"/>
          <w:sz w:val="32"/>
          <w:szCs w:val="32"/>
        </w:rPr>
      </w:pPr>
      <w:r>
        <w:rPr>
          <w:rFonts w:hint="eastAsia" w:ascii="仿宋_GB2312" w:eastAsia="仿宋_GB2312"/>
          <w:sz w:val="32"/>
          <w:szCs w:val="32"/>
        </w:rPr>
        <w:t>3.落实责任、强化效果。要按照谁检查、谁签字、谁负责的原则，逐项检查、确认、签字，确保检查项目无遗漏、问题隐患找准确。</w:t>
      </w:r>
      <w:r>
        <w:rPr>
          <w:rFonts w:hint="eastAsia" w:ascii="仿宋_GB2312" w:hAnsi="仿宋_GB2312" w:eastAsia="仿宋_GB2312" w:cs="仿宋_GB2312"/>
          <w:bCs/>
          <w:kern w:val="0"/>
          <w:sz w:val="32"/>
          <w:szCs w:val="32"/>
        </w:rPr>
        <w:t>严格做到“五个一律”，凡是发现企业不开展隐患自查自改的，一律依法处罚；凡是发现企业存在安全生产非法违法行为的，一律顶格处罚；凡是发现企业自查自改后仍存在重大隐患和非法违法行为的，一律停产整顿；凡是经停产整顿到期仍达不到安全生产要求的，一律关闭取缔；对存有重大安全风险、不具备安全生产条件、长期处于停产状态或者即将倒闭的“僵尸”企业，一律尽快关闭，依法吊销企业相关证照，并向社会公告</w:t>
      </w:r>
      <w:r>
        <w:rPr>
          <w:rFonts w:hint="eastAsia" w:ascii="仿宋_GB2312" w:eastAsia="仿宋_GB2312"/>
          <w:sz w:val="32"/>
          <w:szCs w:val="32"/>
        </w:rPr>
        <w:t>。</w:t>
      </w:r>
    </w:p>
    <w:p>
      <w:pPr>
        <w:snapToGrid w:val="0"/>
        <w:spacing w:line="560" w:lineRule="exact"/>
        <w:ind w:firstLine="569" w:firstLineChars="177"/>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（四）“回头看”阶段（2021年12月）</w:t>
      </w:r>
    </w:p>
    <w:p>
      <w:pPr>
        <w:snapToGrid w:val="0"/>
        <w:spacing w:line="560" w:lineRule="exact"/>
        <w:ind w:firstLine="566" w:firstLineChars="177"/>
        <w:rPr>
          <w:rFonts w:ascii="仿宋_GB2312" w:eastAsia="仿宋_GB2312"/>
          <w:sz w:val="32"/>
          <w:szCs w:val="32"/>
        </w:rPr>
      </w:pPr>
      <w:r>
        <w:rPr>
          <w:rFonts w:hint="eastAsia" w:ascii="仿宋_GB2312" w:eastAsia="仿宋_GB2312"/>
          <w:sz w:val="32"/>
          <w:szCs w:val="32"/>
        </w:rPr>
        <w:t>各企业每月要开展一次自查自纠“回头看”，确保事故隐患彻底整改。各园区、街道、镇要对企业自查自纠和隐患整改等情况进行核查，确保关闭、停产、处罚等处置措施落实到位。</w:t>
      </w:r>
    </w:p>
    <w:p>
      <w:pPr>
        <w:snapToGrid w:val="0"/>
        <w:spacing w:line="560" w:lineRule="exact"/>
        <w:ind w:firstLine="569" w:firstLineChars="177"/>
        <w:outlineLvl w:val="0"/>
        <w:rPr>
          <w:rFonts w:ascii="黑体" w:hAnsi="黑体" w:eastAsia="黑体"/>
          <w:b/>
          <w:bCs/>
          <w:sz w:val="32"/>
          <w:szCs w:val="32"/>
        </w:rPr>
      </w:pPr>
      <w:r>
        <w:rPr>
          <w:rFonts w:hint="eastAsia" w:ascii="黑体" w:hAnsi="黑体" w:eastAsia="黑体"/>
          <w:b/>
          <w:bCs/>
          <w:sz w:val="32"/>
          <w:szCs w:val="32"/>
        </w:rPr>
        <w:t>四、工作措施</w:t>
      </w:r>
    </w:p>
    <w:p>
      <w:pPr>
        <w:snapToGrid w:val="0"/>
        <w:spacing w:line="560" w:lineRule="exact"/>
        <w:ind w:firstLine="569" w:firstLineChars="177"/>
        <w:rPr>
          <w:rFonts w:ascii="仿宋_GB2312" w:hAnsi="仿宋_GB2312" w:eastAsia="仿宋_GB2312" w:cs="仿宋_GB2312"/>
          <w:sz w:val="32"/>
          <w:szCs w:val="32"/>
        </w:rPr>
      </w:pPr>
      <w:r>
        <w:rPr>
          <w:rFonts w:hint="eastAsia" w:ascii="楷体_GB2312" w:hAnsi="楷体_GB2312" w:eastAsia="楷体_GB2312" w:cs="楷体_GB2312"/>
          <w:b/>
          <w:bCs/>
          <w:sz w:val="32"/>
          <w:szCs w:val="32"/>
        </w:rPr>
        <w:t>（一）精心组织实施。</w:t>
      </w:r>
      <w:r>
        <w:rPr>
          <w:rFonts w:hint="eastAsia" w:ascii="仿宋_GB2312" w:hAnsi="仿宋_GB2312" w:eastAsia="仿宋_GB2312" w:cs="仿宋_GB2312"/>
          <w:sz w:val="32"/>
          <w:szCs w:val="32"/>
        </w:rPr>
        <w:t>要加强对集中整治工作的组织领导，突出问题和目标导向，摸清辖区内非煤矿山的安全管理状况，制定针对性的措施，</w:t>
      </w:r>
      <w:r>
        <w:rPr>
          <w:rFonts w:ascii="Times New Roman" w:hAnsi="Times New Roman" w:eastAsia="仿宋_GB2312" w:cs="Times New Roman"/>
          <w:bCs/>
          <w:kern w:val="0"/>
          <w:sz w:val="32"/>
          <w:szCs w:val="32"/>
        </w:rPr>
        <w:t>认真落实专项行动要求，切实推动大排查、快整治、严执法工作开展</w:t>
      </w:r>
      <w:r>
        <w:rPr>
          <w:rFonts w:hint="eastAsia" w:ascii="仿宋_GB2312" w:hAnsi="仿宋_GB2312" w:eastAsia="仿宋_GB2312" w:cs="仿宋_GB2312"/>
          <w:sz w:val="32"/>
          <w:szCs w:val="32"/>
        </w:rPr>
        <w:t>。</w:t>
      </w:r>
    </w:p>
    <w:p>
      <w:pPr>
        <w:snapToGrid w:val="0"/>
        <w:spacing w:line="560" w:lineRule="exact"/>
        <w:ind w:firstLine="569" w:firstLineChars="177"/>
        <w:rPr>
          <w:rFonts w:ascii="仿宋_GB2312" w:hAnsi="仿宋_GB2312" w:eastAsia="仿宋_GB2312" w:cs="仿宋_GB2312"/>
          <w:sz w:val="32"/>
          <w:szCs w:val="32"/>
        </w:rPr>
      </w:pPr>
      <w:r>
        <w:rPr>
          <w:rFonts w:hint="eastAsia" w:ascii="楷体_GB2312" w:hAnsi="楷体_GB2312" w:eastAsia="楷体_GB2312" w:cs="楷体_GB2312"/>
          <w:b/>
          <w:bCs/>
          <w:sz w:val="32"/>
          <w:szCs w:val="32"/>
        </w:rPr>
        <w:t>（二）提高执法效能。</w:t>
      </w:r>
      <w:r>
        <w:rPr>
          <w:rFonts w:hint="eastAsia" w:ascii="仿宋_GB2312" w:hAnsi="仿宋_GB2312" w:eastAsia="仿宋_GB2312" w:cs="仿宋_GB2312"/>
          <w:sz w:val="32"/>
          <w:szCs w:val="32"/>
        </w:rPr>
        <w:t>要严格标准，规范程序，切实加大执法检查力度，严厉查处企业违法违规行为，一经查实，要依法在自由裁量幅度内进行顶格处罚，公示执法处罚结果，并推送到“信用山东”平台；对纳入安全生产领域“黑名单”管理的失信单位实施联合惩戒。</w:t>
      </w:r>
    </w:p>
    <w:p>
      <w:pPr>
        <w:snapToGrid w:val="0"/>
        <w:spacing w:line="560" w:lineRule="exact"/>
        <w:ind w:firstLine="569" w:firstLineChars="177"/>
        <w:outlineLvl w:val="1"/>
        <w:rPr>
          <w:rFonts w:ascii="仿宋_GB2312" w:hAnsi="仿宋_GB2312" w:eastAsia="仿宋_GB2312" w:cs="仿宋_GB2312"/>
          <w:sz w:val="32"/>
          <w:szCs w:val="32"/>
        </w:rPr>
      </w:pPr>
      <w:r>
        <w:rPr>
          <w:rFonts w:hint="eastAsia" w:ascii="楷体_GB2312" w:hAnsi="楷体_GB2312" w:eastAsia="楷体_GB2312" w:cs="楷体_GB2312"/>
          <w:b/>
          <w:bCs/>
          <w:sz w:val="32"/>
          <w:szCs w:val="32"/>
        </w:rPr>
        <w:t>（三）加强跟踪督导。</w:t>
      </w:r>
      <w:r>
        <w:rPr>
          <w:rFonts w:hint="eastAsia" w:ascii="仿宋_GB2312" w:hAnsi="仿宋_GB2312" w:eastAsia="仿宋_GB2312" w:cs="仿宋_GB2312"/>
          <w:sz w:val="32"/>
          <w:szCs w:val="32"/>
        </w:rPr>
        <w:t>要加强对集中整治的监督检查，定期督查梳理集中整治工作，加强研判分析和信息归集，及时发现并解决工作中的问题和不足，采取针对性措施予以解决，确保集中整治扎实推进，确保隐患</w:t>
      </w:r>
      <w:r>
        <w:rPr>
          <w:rFonts w:hint="eastAsia" w:ascii="仿宋_GB2312" w:hAnsi="仿宋_GB2312" w:eastAsia="仿宋_GB2312" w:cs="仿宋_GB2312"/>
          <w:bCs/>
          <w:sz w:val="32"/>
          <w:szCs w:val="32"/>
        </w:rPr>
        <w:t>全部整改到位。督促企业完善和落实安全生产责任和管理制度，着力构建安全自查自纠长效机制。</w:t>
      </w:r>
    </w:p>
    <w:p>
      <w:pPr>
        <w:snapToGrid w:val="0"/>
        <w:spacing w:line="560" w:lineRule="exact"/>
        <w:ind w:firstLine="643" w:firstLineChars="200"/>
        <w:jc w:val="left"/>
        <w:rPr>
          <w:rFonts w:ascii="仿宋_GB2312" w:hAnsi="仿宋_GB2312" w:eastAsia="仿宋_GB2312" w:cs="仿宋_GB2312"/>
          <w:sz w:val="32"/>
          <w:szCs w:val="32"/>
        </w:rPr>
      </w:pPr>
      <w:r>
        <w:rPr>
          <w:rFonts w:hint="eastAsia" w:ascii="楷体_GB2312" w:hAnsi="楷体_GB2312" w:eastAsia="楷体_GB2312" w:cs="楷体_GB2312"/>
          <w:b/>
          <w:bCs/>
          <w:sz w:val="32"/>
          <w:szCs w:val="32"/>
        </w:rPr>
        <w:t>（四）强化宣传引导。</w:t>
      </w:r>
      <w:r>
        <w:rPr>
          <w:rFonts w:hint="eastAsia" w:ascii="仿宋_GB2312" w:hAnsi="仿宋_GB2312" w:eastAsia="仿宋_GB2312" w:cs="仿宋_GB2312"/>
          <w:sz w:val="32"/>
          <w:szCs w:val="32"/>
        </w:rPr>
        <w:t>各单位要充分发挥舆论导向作用，加大集中整治行动宣传报道力度，</w:t>
      </w:r>
      <w:r>
        <w:rPr>
          <w:rFonts w:hint="eastAsia" w:ascii="仿宋_GB2312" w:hAnsi="仿宋_GB2312" w:eastAsia="仿宋_GB2312" w:cs="仿宋_GB2312"/>
          <w:sz w:val="32"/>
          <w:szCs w:val="32"/>
          <w:shd w:val="clear" w:color="auto" w:fill="FFFFFF"/>
        </w:rPr>
        <w:t>广泛宣传国家和省市安全生产法规和政策，</w:t>
      </w:r>
      <w:r>
        <w:rPr>
          <w:rFonts w:hint="eastAsia" w:ascii="仿宋_GB2312" w:hAnsi="仿宋_GB2312" w:eastAsia="仿宋_GB2312" w:cs="仿宋_GB2312"/>
          <w:sz w:val="32"/>
          <w:szCs w:val="32"/>
        </w:rPr>
        <w:t>及时曝光一批关闭、停产、处罚案例和重大隐患排查整改情况，为集中整治创造有利的舆论环境。</w:t>
      </w:r>
    </w:p>
    <w:p>
      <w:pPr>
        <w:snapToGrid w:val="0"/>
        <w:spacing w:line="560" w:lineRule="exact"/>
        <w:ind w:firstLine="643" w:firstLineChars="200"/>
        <w:jc w:val="left"/>
        <w:rPr>
          <w:rFonts w:ascii="仿宋_GB2312" w:hAnsi="仿宋_GB2312" w:eastAsia="仿宋_GB2312" w:cs="仿宋_GB2312"/>
          <w:sz w:val="32"/>
          <w:szCs w:val="32"/>
        </w:rPr>
      </w:pPr>
      <w:r>
        <w:rPr>
          <w:rFonts w:hint="eastAsia" w:ascii="楷体_GB2312" w:hAnsi="楷体_GB2312" w:eastAsia="楷体_GB2312" w:cs="楷体_GB2312"/>
          <w:b/>
          <w:bCs/>
          <w:sz w:val="32"/>
          <w:szCs w:val="32"/>
        </w:rPr>
        <w:t>（五）加强信息报送。</w:t>
      </w:r>
      <w:r>
        <w:rPr>
          <w:rFonts w:hint="eastAsia" w:ascii="仿宋_GB2312" w:hAnsi="仿宋_GB2312" w:eastAsia="仿宋_GB2312" w:cs="仿宋_GB2312"/>
          <w:sz w:val="32"/>
          <w:szCs w:val="32"/>
        </w:rPr>
        <w:t>各单位要加强信息调度汇总工作，确保</w:t>
      </w:r>
      <w:r>
        <w:rPr>
          <w:rFonts w:hint="eastAsia" w:ascii="仿宋_GB2312" w:eastAsia="仿宋_GB2312"/>
          <w:sz w:val="32"/>
          <w:szCs w:val="32"/>
        </w:rPr>
        <w:t>大排查快整治严执法专项行动</w:t>
      </w:r>
      <w:r>
        <w:rPr>
          <w:rFonts w:hint="eastAsia" w:ascii="仿宋_GB2312" w:hAnsi="仿宋_GB2312" w:eastAsia="仿宋_GB2312" w:cs="仿宋_GB2312"/>
          <w:sz w:val="32"/>
          <w:szCs w:val="32"/>
        </w:rPr>
        <w:t>各阶段工作有安排、有检查、有总结，按时上报进展情况。</w:t>
      </w:r>
    </w:p>
    <w:p>
      <w:pPr>
        <w:snapToGrid w:val="0"/>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整治期间，每月17日前，各非煤矿山企业要将《非煤矿山安全生产隐患大排查快整治严执法专项行动工作进展情况统计表（附件4）》中排查整治隐患（企业层面）上报高新区应急管理中心；各园区、街道、镇要将《非煤矿山安全生产隐患大排查快整治严执法专项行动工作进展情况统计表（附件4）》中开展督导检查情况上报高新区应急管理中心；6月15日前各园区、街道、镇和非煤矿山企业大排查大整治行动工作半年总结和附件4报高新区应急管理中心；12月15日前，各园区、街道、镇和非煤矿山企业</w:t>
      </w:r>
      <w:r>
        <w:rPr>
          <w:rFonts w:hint="eastAsia" w:ascii="仿宋_GB2312" w:hAnsi="仿宋_GB2312" w:eastAsia="仿宋_GB2312" w:cs="仿宋_GB2312"/>
          <w:bCs/>
          <w:kern w:val="0"/>
          <w:sz w:val="32"/>
          <w:szCs w:val="32"/>
        </w:rPr>
        <w:t>大排查快整治严执法行动</w:t>
      </w:r>
      <w:r>
        <w:rPr>
          <w:rFonts w:hint="eastAsia" w:ascii="仿宋_GB2312" w:hAnsi="仿宋_GB2312" w:eastAsia="仿宋_GB2312" w:cs="仿宋_GB2312"/>
          <w:sz w:val="32"/>
          <w:szCs w:val="32"/>
        </w:rPr>
        <w:t>工作总结和附件4报高新区应急管理中心。邮箱：</w:t>
      </w:r>
      <w:r>
        <w:fldChar w:fldCharType="begin"/>
      </w:r>
      <w:r>
        <w:instrText xml:space="preserve"> HYPERLINK "mailto:zbgxqajjjgk@zb.shandong.cn" </w:instrText>
      </w:r>
      <w:r>
        <w:fldChar w:fldCharType="separate"/>
      </w:r>
      <w:r>
        <w:rPr>
          <w:rStyle w:val="53"/>
          <w:rFonts w:ascii="Times New Roman" w:hAnsi="Times New Roman" w:cs="Times New Roman"/>
        </w:rPr>
        <w:t>zbgxqajjjgk@zb.shandong.cn</w:t>
      </w:r>
      <w:r>
        <w:rPr>
          <w:rStyle w:val="53"/>
          <w:rFonts w:ascii="Times New Roman" w:hAnsi="Times New Roman" w:cs="Times New Roman"/>
        </w:rPr>
        <w:fldChar w:fldCharType="end"/>
      </w:r>
      <w:r>
        <w:rPr>
          <w:rStyle w:val="53"/>
          <w:rFonts w:ascii="Times New Roman" w:hAnsi="Times New Roman" w:cs="Times New Roman"/>
        </w:rPr>
        <w:t>。</w:t>
      </w:r>
    </w:p>
    <w:p>
      <w:pPr>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附件：1.非煤矿山企业安全管理执法检查表</w:t>
      </w:r>
    </w:p>
    <w:p>
      <w:pPr>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 xml:space="preserve"> 2.地下非煤矿山现场作业管理执法检查表</w:t>
      </w:r>
    </w:p>
    <w:p>
      <w:pPr>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 xml:space="preserve"> 3.尾矿库现场作业管理执法检查表</w:t>
      </w:r>
    </w:p>
    <w:p>
      <w:pPr>
        <w:spacing w:line="560" w:lineRule="exact"/>
        <w:ind w:firstLine="1600" w:firstLineChars="500"/>
        <w:rPr>
          <w:rFonts w:ascii="仿宋_GB2312" w:hAnsi="仿宋_GB2312" w:eastAsia="仿宋_GB2312" w:cs="仿宋_GB2312"/>
          <w:sz w:val="32"/>
          <w:szCs w:val="32"/>
        </w:rPr>
        <w:sectPr>
          <w:headerReference r:id="rId3" w:type="default"/>
          <w:footerReference r:id="rId4" w:type="default"/>
          <w:pgSz w:w="11906" w:h="16838"/>
          <w:pgMar w:top="2098" w:right="1474" w:bottom="1984" w:left="1587" w:header="851" w:footer="992" w:gutter="0"/>
          <w:pgNumType w:fmt="numberInDash" w:start="1"/>
          <w:cols w:space="0" w:num="1"/>
          <w:docGrid w:type="lines" w:linePitch="579" w:charSpace="0"/>
        </w:sectPr>
      </w:pPr>
      <w:r>
        <w:rPr>
          <w:rFonts w:hint="eastAsia" w:ascii="仿宋_GB2312" w:hAnsi="仿宋_GB2312" w:eastAsia="仿宋_GB2312" w:cs="仿宋_GB2312"/>
          <w:sz w:val="32"/>
          <w:szCs w:val="32"/>
        </w:rPr>
        <w:t>4.非煤矿山安全生产隐患大排查快整治严执法专项行动工作进展情况统计表</w:t>
      </w:r>
    </w:p>
    <w:p>
      <w:pPr>
        <w:tabs>
          <w:tab w:val="left" w:pos="1940"/>
        </w:tabs>
        <w:jc w:val="left"/>
        <w:rPr>
          <w:rFonts w:ascii="黑体" w:hAnsi="黑体" w:eastAsia="黑体" w:cs="黑体"/>
          <w:sz w:val="32"/>
          <w:szCs w:val="32"/>
        </w:rPr>
      </w:pPr>
      <w:r>
        <w:rPr>
          <w:rFonts w:hint="eastAsia" w:ascii="黑体" w:hAnsi="黑体" w:eastAsia="黑体" w:cs="黑体"/>
          <w:sz w:val="32"/>
          <w:szCs w:val="32"/>
        </w:rPr>
        <w:t>附件1</w:t>
      </w:r>
    </w:p>
    <w:p>
      <w:pPr>
        <w:spacing w:after="295" w:afterLines="50"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非煤矿山企业安全管理执法检查表</w:t>
      </w: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4"/>
        <w:gridCol w:w="4432"/>
        <w:gridCol w:w="2566"/>
        <w:gridCol w:w="2617"/>
        <w:gridCol w:w="26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blHeader/>
          <w:jc w:val="center"/>
        </w:trPr>
        <w:tc>
          <w:tcPr>
            <w:tcW w:w="684" w:type="dxa"/>
            <w:vAlign w:val="center"/>
          </w:tcPr>
          <w:p>
            <w:pPr>
              <w:spacing w:line="240" w:lineRule="exact"/>
              <w:jc w:val="center"/>
              <w:rPr>
                <w:rFonts w:ascii="黑体" w:hAnsi="黑体" w:eastAsia="黑体" w:cs="黑体"/>
                <w:color w:val="000000"/>
                <w:sz w:val="18"/>
                <w:szCs w:val="18"/>
              </w:rPr>
            </w:pPr>
            <w:r>
              <w:rPr>
                <w:rFonts w:hint="eastAsia" w:ascii="黑体" w:hAnsi="黑体" w:eastAsia="黑体" w:cs="黑体"/>
                <w:color w:val="000000"/>
                <w:sz w:val="18"/>
                <w:szCs w:val="18"/>
              </w:rPr>
              <w:t>序号</w:t>
            </w:r>
          </w:p>
        </w:tc>
        <w:tc>
          <w:tcPr>
            <w:tcW w:w="4432" w:type="dxa"/>
            <w:vAlign w:val="center"/>
          </w:tcPr>
          <w:p>
            <w:pPr>
              <w:spacing w:line="240" w:lineRule="exact"/>
              <w:jc w:val="center"/>
              <w:rPr>
                <w:rFonts w:ascii="黑体" w:hAnsi="黑体" w:eastAsia="黑体" w:cs="黑体"/>
                <w:color w:val="000000"/>
                <w:sz w:val="18"/>
                <w:szCs w:val="18"/>
              </w:rPr>
            </w:pPr>
            <w:r>
              <w:rPr>
                <w:rFonts w:hint="eastAsia" w:ascii="黑体" w:hAnsi="黑体" w:eastAsia="黑体" w:cs="黑体"/>
                <w:color w:val="000000"/>
                <w:sz w:val="18"/>
                <w:szCs w:val="18"/>
              </w:rPr>
              <w:t>检查内容</w:t>
            </w:r>
          </w:p>
        </w:tc>
        <w:tc>
          <w:tcPr>
            <w:tcW w:w="2566" w:type="dxa"/>
            <w:vAlign w:val="center"/>
          </w:tcPr>
          <w:p>
            <w:pPr>
              <w:spacing w:line="240" w:lineRule="exact"/>
              <w:jc w:val="center"/>
              <w:rPr>
                <w:rFonts w:ascii="黑体" w:hAnsi="黑体" w:eastAsia="黑体" w:cs="黑体"/>
                <w:color w:val="000000"/>
                <w:sz w:val="18"/>
                <w:szCs w:val="18"/>
              </w:rPr>
            </w:pPr>
            <w:r>
              <w:rPr>
                <w:rFonts w:hint="eastAsia" w:ascii="黑体" w:hAnsi="黑体" w:eastAsia="黑体" w:cs="黑体"/>
                <w:color w:val="000000"/>
                <w:sz w:val="18"/>
                <w:szCs w:val="18"/>
              </w:rPr>
              <w:t>检查方法</w:t>
            </w:r>
          </w:p>
        </w:tc>
        <w:tc>
          <w:tcPr>
            <w:tcW w:w="2617" w:type="dxa"/>
            <w:vAlign w:val="center"/>
          </w:tcPr>
          <w:p>
            <w:pPr>
              <w:spacing w:line="240" w:lineRule="exact"/>
              <w:jc w:val="center"/>
              <w:rPr>
                <w:rFonts w:ascii="黑体" w:hAnsi="黑体" w:eastAsia="黑体" w:cs="黑体"/>
                <w:color w:val="000000"/>
                <w:sz w:val="18"/>
                <w:szCs w:val="18"/>
              </w:rPr>
            </w:pPr>
            <w:r>
              <w:rPr>
                <w:rFonts w:hint="eastAsia" w:ascii="黑体" w:hAnsi="黑体" w:eastAsia="黑体" w:cs="黑体"/>
                <w:color w:val="000000"/>
                <w:sz w:val="18"/>
                <w:szCs w:val="18"/>
              </w:rPr>
              <w:t>执法依据</w:t>
            </w:r>
          </w:p>
        </w:tc>
        <w:tc>
          <w:tcPr>
            <w:tcW w:w="2627" w:type="dxa"/>
            <w:vAlign w:val="center"/>
          </w:tcPr>
          <w:p>
            <w:pPr>
              <w:spacing w:line="240" w:lineRule="exact"/>
              <w:jc w:val="center"/>
              <w:rPr>
                <w:rFonts w:ascii="黑体" w:hAnsi="黑体" w:eastAsia="黑体" w:cs="黑体"/>
                <w:color w:val="000000"/>
                <w:sz w:val="18"/>
                <w:szCs w:val="18"/>
              </w:rPr>
            </w:pPr>
            <w:r>
              <w:rPr>
                <w:rFonts w:hint="eastAsia" w:ascii="黑体" w:hAnsi="黑体" w:eastAsia="黑体" w:cs="黑体"/>
                <w:color w:val="000000"/>
                <w:sz w:val="18"/>
                <w:szCs w:val="18"/>
              </w:rPr>
              <w:t>处罚依据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1</w:t>
            </w:r>
          </w:p>
        </w:tc>
        <w:tc>
          <w:tcPr>
            <w:tcW w:w="4432"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①是否取得安全生产许可证；</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②</w:t>
            </w:r>
            <w:r>
              <w:rPr>
                <w:rFonts w:ascii="宋体" w:hAnsi="宋体" w:eastAsia="宋体"/>
                <w:color w:val="000000"/>
                <w:sz w:val="18"/>
                <w:szCs w:val="18"/>
              </w:rPr>
              <w:t>安全生产许可证</w:t>
            </w:r>
            <w:r>
              <w:rPr>
                <w:rFonts w:hint="eastAsia" w:ascii="宋体" w:hAnsi="宋体" w:eastAsia="宋体"/>
                <w:color w:val="000000"/>
                <w:sz w:val="18"/>
                <w:szCs w:val="18"/>
              </w:rPr>
              <w:t>是否</w:t>
            </w:r>
            <w:r>
              <w:rPr>
                <w:rFonts w:ascii="宋体" w:hAnsi="宋体" w:eastAsia="宋体"/>
                <w:color w:val="000000"/>
                <w:sz w:val="18"/>
                <w:szCs w:val="18"/>
              </w:rPr>
              <w:t>按规定延期</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③</w:t>
            </w:r>
            <w:r>
              <w:rPr>
                <w:rFonts w:ascii="宋体" w:hAnsi="宋体" w:eastAsia="宋体"/>
                <w:color w:val="000000"/>
                <w:sz w:val="18"/>
                <w:szCs w:val="18"/>
              </w:rPr>
              <w:t>采矿许可证失效</w:t>
            </w:r>
            <w:r>
              <w:rPr>
                <w:rFonts w:hint="eastAsia" w:ascii="宋体" w:hAnsi="宋体" w:eastAsia="宋体"/>
                <w:color w:val="000000"/>
                <w:sz w:val="18"/>
                <w:szCs w:val="18"/>
              </w:rPr>
              <w:t>，被暂扣、撤销、吊销、和注销的</w:t>
            </w:r>
            <w:r>
              <w:rPr>
                <w:rFonts w:ascii="宋体" w:hAnsi="宋体" w:eastAsia="宋体"/>
                <w:color w:val="000000"/>
                <w:sz w:val="18"/>
                <w:szCs w:val="18"/>
              </w:rPr>
              <w:t>，安全安全生产许可证</w:t>
            </w:r>
            <w:r>
              <w:rPr>
                <w:rFonts w:hint="eastAsia" w:ascii="宋体" w:hAnsi="宋体" w:eastAsia="宋体"/>
                <w:color w:val="000000"/>
                <w:sz w:val="18"/>
                <w:szCs w:val="18"/>
              </w:rPr>
              <w:t>是否</w:t>
            </w:r>
            <w:r>
              <w:rPr>
                <w:rFonts w:ascii="宋体" w:hAnsi="宋体" w:eastAsia="宋体"/>
                <w:color w:val="000000"/>
                <w:sz w:val="18"/>
                <w:szCs w:val="18"/>
              </w:rPr>
              <w:t>按规定交回</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④安全生产许可证是否按规定变更；</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是否存在转让、冒用安全生产许可证或者使用伪造的安全生产许可证问题。</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查看安全生产许可证、采矿许可证、营业执照原件，验证相关检查内容。</w:t>
            </w:r>
          </w:p>
        </w:tc>
        <w:tc>
          <w:tcPr>
            <w:tcW w:w="2617"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①《安全生产许可证条例》第二条。②《安全生产许可证条例》第九条第一款。③《非煤矿矿山企业安全生产许可证实施办法》</w:t>
            </w:r>
            <w:r>
              <w:rPr>
                <w:rFonts w:ascii="宋体" w:hAnsi="宋体" w:eastAsia="宋体" w:cs="宋体"/>
                <w:color w:val="000000"/>
                <w:sz w:val="18"/>
                <w:szCs w:val="18"/>
              </w:rPr>
              <w:t>第二十八条</w:t>
            </w:r>
            <w:r>
              <w:rPr>
                <w:rFonts w:hint="eastAsia" w:ascii="宋体" w:hAnsi="宋体" w:eastAsia="宋体" w:cs="宋体"/>
                <w:color w:val="000000"/>
                <w:sz w:val="18"/>
                <w:szCs w:val="18"/>
              </w:rPr>
              <w:t>。④《非煤矿矿山企业安全生产许可证实施办法》</w:t>
            </w:r>
            <w:r>
              <w:rPr>
                <w:rFonts w:ascii="宋体" w:hAnsi="宋体" w:eastAsia="宋体" w:cs="宋体"/>
                <w:color w:val="000000"/>
                <w:sz w:val="18"/>
                <w:szCs w:val="18"/>
              </w:rPr>
              <w:t>第二十一条</w:t>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《安全生产许可证条例》第十三条。</w:t>
            </w:r>
          </w:p>
        </w:tc>
        <w:tc>
          <w:tcPr>
            <w:tcW w:w="2627"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①《安全生产许可证条例》第十九条。②《安全生产许可证条例》第二十条。③《非煤矿矿山企业安全生产许可证实施办法》</w:t>
            </w:r>
            <w:r>
              <w:rPr>
                <w:rFonts w:ascii="宋体" w:hAnsi="宋体" w:eastAsia="宋体" w:cs="宋体"/>
                <w:color w:val="000000"/>
                <w:sz w:val="18"/>
                <w:szCs w:val="18"/>
              </w:rPr>
              <w:t>第四十三条</w:t>
            </w:r>
            <w:r>
              <w:rPr>
                <w:rFonts w:hint="eastAsia" w:ascii="宋体" w:hAnsi="宋体" w:eastAsia="宋体" w:cs="宋体"/>
                <w:color w:val="000000"/>
                <w:sz w:val="18"/>
                <w:szCs w:val="18"/>
              </w:rPr>
              <w:t>。④</w:t>
            </w:r>
            <w:r>
              <w:rPr>
                <w:rFonts w:ascii="宋体" w:hAnsi="宋体" w:eastAsia="宋体" w:cs="宋体"/>
                <w:color w:val="000000"/>
                <w:sz w:val="18"/>
                <w:szCs w:val="18"/>
              </w:rPr>
              <w:t>《非煤矿矿山企业安全生产许可证实施办法》第四十四条</w:t>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《安全生产许可证条例》第二十一条。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0"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2</w:t>
            </w:r>
          </w:p>
        </w:tc>
        <w:tc>
          <w:tcPr>
            <w:tcW w:w="4432"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①矿山应当设置安全生产管理机构或者配备专职安全生产管理人员；②从业人员不足</w:t>
            </w:r>
            <w:r>
              <w:rPr>
                <w:rFonts w:ascii="宋体" w:hAnsi="宋体" w:eastAsia="宋体" w:cs="宋体"/>
                <w:color w:val="000000"/>
                <w:sz w:val="18"/>
                <w:szCs w:val="18"/>
              </w:rPr>
              <w:t>100人的，应当配备专职安全生产管理人员；</w:t>
            </w:r>
            <w:r>
              <w:rPr>
                <w:rFonts w:hint="eastAsia" w:ascii="宋体" w:hAnsi="宋体" w:eastAsia="宋体" w:cs="宋体"/>
                <w:color w:val="000000"/>
                <w:sz w:val="18"/>
                <w:szCs w:val="18"/>
              </w:rPr>
              <w:t>③从业人员在</w:t>
            </w:r>
            <w:r>
              <w:rPr>
                <w:rFonts w:ascii="宋体" w:hAnsi="宋体" w:eastAsia="宋体" w:cs="宋体"/>
                <w:color w:val="000000"/>
                <w:sz w:val="18"/>
                <w:szCs w:val="18"/>
              </w:rPr>
              <w:t>100人以上不足300人的，应当设置安全生产管理机构，并配备2名以上专职安全生产管理人员，其中至少应当有1名注册安全工程师；</w:t>
            </w:r>
            <w:r>
              <w:rPr>
                <w:rFonts w:hint="eastAsia" w:ascii="宋体" w:hAnsi="宋体" w:eastAsia="宋体" w:cs="宋体"/>
                <w:color w:val="000000"/>
                <w:sz w:val="18"/>
                <w:szCs w:val="18"/>
              </w:rPr>
              <w:t>④从业人员在</w:t>
            </w:r>
            <w:r>
              <w:rPr>
                <w:rFonts w:ascii="宋体" w:hAnsi="宋体" w:eastAsia="宋体" w:cs="宋体"/>
                <w:color w:val="000000"/>
                <w:sz w:val="18"/>
                <w:szCs w:val="18"/>
              </w:rPr>
              <w:t>300人以上不足1000人的，应当设置专门的安全生产管理机构，并按不低于从业人员5‰但最低不少于3名的比例配备专职安全生产管理人员，其中至少应当有2名注册安全工程师；</w:t>
            </w:r>
            <w:r>
              <w:rPr>
                <w:rFonts w:hint="eastAsia" w:ascii="宋体" w:hAnsi="宋体" w:eastAsia="宋体" w:cs="宋体"/>
                <w:color w:val="000000"/>
                <w:sz w:val="18"/>
                <w:szCs w:val="18"/>
              </w:rPr>
              <w:t>⑤从业人员在</w:t>
            </w:r>
            <w:r>
              <w:rPr>
                <w:rFonts w:ascii="宋体" w:hAnsi="宋体" w:eastAsia="宋体" w:cs="宋体"/>
                <w:color w:val="000000"/>
                <w:sz w:val="18"/>
                <w:szCs w:val="18"/>
              </w:rPr>
              <w:t>1000人以上的，应当设置专门的安全生产管理机构，并按不低于从业人员5‰的比例配备专职安全生产管理人员，其中至少应当有3名注册安全工程师</w:t>
            </w:r>
            <w:r>
              <w:rPr>
                <w:rFonts w:hint="eastAsia" w:ascii="宋体" w:hAnsi="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6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⑥</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从业人员在</w:t>
            </w:r>
            <w:r>
              <w:rPr>
                <w:rFonts w:ascii="宋体" w:hAnsi="宋体" w:eastAsia="宋体" w:cs="宋体"/>
                <w:color w:val="000000"/>
                <w:sz w:val="18"/>
                <w:szCs w:val="18"/>
              </w:rPr>
              <w:t>300人以上的应当设置安全总监</w:t>
            </w:r>
            <w:r>
              <w:rPr>
                <w:rFonts w:hint="eastAsia" w:ascii="宋体" w:hAnsi="宋体" w:eastAsia="宋体" w:cs="宋体"/>
                <w:color w:val="000000"/>
                <w:sz w:val="18"/>
                <w:szCs w:val="18"/>
              </w:rPr>
              <w:t>，并</w:t>
            </w:r>
            <w:r>
              <w:rPr>
                <w:rFonts w:ascii="宋体" w:hAnsi="宋体" w:eastAsia="宋体" w:cs="宋体"/>
                <w:color w:val="000000"/>
                <w:sz w:val="18"/>
                <w:szCs w:val="18"/>
              </w:rPr>
              <w:t>建立本单位的安全生产委员会；</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安全生产委员会应当由本单位的主要负责人、分管安全生产的负责人</w:t>
            </w:r>
            <w:r>
              <w:rPr>
                <w:rFonts w:ascii="宋体" w:hAnsi="宋体" w:eastAsia="宋体" w:cs="宋体"/>
                <w:color w:val="000000"/>
                <w:sz w:val="18"/>
                <w:szCs w:val="18"/>
              </w:rPr>
              <w:t>(安全总监)、相关负责人、专门的安全生产管理机构及相关机构负责人、安全生产管理人员和工会代表以及从业人员代表组成；</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8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⑧</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安全生产委员会每季度至少召开一次会议，会议应当有书面记录。</w:t>
            </w:r>
          </w:p>
        </w:tc>
        <w:tc>
          <w:tcPr>
            <w:tcW w:w="2566"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看员工</w:t>
            </w:r>
            <w:r>
              <w:rPr>
                <w:rFonts w:ascii="宋体" w:hAnsi="宋体" w:eastAsia="宋体" w:cs="宋体"/>
                <w:color w:val="000000"/>
                <w:sz w:val="18"/>
                <w:szCs w:val="18"/>
              </w:rPr>
              <w:t>花名册、工资</w:t>
            </w:r>
            <w:r>
              <w:rPr>
                <w:rFonts w:hint="eastAsia" w:ascii="宋体" w:hAnsi="宋体" w:eastAsia="宋体" w:cs="宋体"/>
                <w:color w:val="000000"/>
                <w:sz w:val="18"/>
                <w:szCs w:val="18"/>
              </w:rPr>
              <w:t>发放</w:t>
            </w:r>
            <w:r>
              <w:rPr>
                <w:rFonts w:ascii="宋体" w:hAnsi="宋体" w:eastAsia="宋体" w:cs="宋体"/>
                <w:color w:val="000000"/>
                <w:sz w:val="18"/>
                <w:szCs w:val="18"/>
              </w:rPr>
              <w:t>记录</w:t>
            </w:r>
            <w:r>
              <w:rPr>
                <w:rFonts w:hint="eastAsia" w:ascii="宋体" w:hAnsi="宋体" w:eastAsia="宋体" w:cs="宋体"/>
                <w:color w:val="000000"/>
                <w:sz w:val="18"/>
                <w:szCs w:val="18"/>
              </w:rPr>
              <w:t>，</w:t>
            </w:r>
            <w:r>
              <w:rPr>
                <w:rFonts w:ascii="宋体" w:hAnsi="宋体" w:eastAsia="宋体" w:cs="宋体"/>
                <w:color w:val="000000"/>
                <w:sz w:val="18"/>
                <w:szCs w:val="18"/>
              </w:rPr>
              <w:t>使用劳务派遣人员名单等能够证明单位从业人员</w:t>
            </w:r>
            <w:r>
              <w:rPr>
                <w:rFonts w:hint="eastAsia" w:ascii="宋体" w:hAnsi="宋体" w:eastAsia="宋体" w:cs="宋体"/>
                <w:color w:val="000000"/>
                <w:sz w:val="18"/>
                <w:szCs w:val="18"/>
              </w:rPr>
              <w:t>人数</w:t>
            </w:r>
            <w:r>
              <w:rPr>
                <w:rFonts w:ascii="宋体" w:hAnsi="宋体" w:eastAsia="宋体" w:cs="宋体"/>
                <w:color w:val="000000"/>
                <w:sz w:val="18"/>
                <w:szCs w:val="18"/>
              </w:rPr>
              <w:t>的有关记录、文件；</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t>查设置安全管理机构或者配备安全生产管理人员、</w:t>
            </w:r>
            <w:r>
              <w:rPr>
                <w:rFonts w:hint="eastAsia" w:ascii="宋体" w:hAnsi="宋体" w:eastAsia="宋体" w:cs="宋体"/>
                <w:color w:val="000000"/>
                <w:sz w:val="18"/>
                <w:szCs w:val="18"/>
              </w:rPr>
              <w:t>配备</w:t>
            </w:r>
            <w:r>
              <w:rPr>
                <w:rFonts w:ascii="宋体" w:hAnsi="宋体" w:eastAsia="宋体" w:cs="宋体"/>
                <w:color w:val="000000"/>
                <w:sz w:val="18"/>
                <w:szCs w:val="18"/>
              </w:rPr>
              <w:t>注册安全工程师</w:t>
            </w:r>
            <w:r>
              <w:rPr>
                <w:rFonts w:hint="eastAsia" w:ascii="宋体" w:hAnsi="宋体" w:eastAsia="宋体" w:cs="宋体"/>
                <w:color w:val="000000"/>
                <w:sz w:val="18"/>
                <w:szCs w:val="18"/>
              </w:rPr>
              <w:t>、设查</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置</w:t>
            </w:r>
            <w:r>
              <w:rPr>
                <w:rFonts w:ascii="宋体" w:hAnsi="宋体" w:eastAsia="宋体" w:cs="宋体"/>
                <w:color w:val="000000"/>
                <w:sz w:val="18"/>
                <w:szCs w:val="18"/>
              </w:rPr>
              <w:t>安全总监、成立安全生产委员会的文件；</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查注册安全工程师资格证</w:t>
            </w:r>
            <w:r>
              <w:rPr>
                <w:rFonts w:ascii="宋体" w:hAnsi="宋体" w:eastAsia="宋体" w:cs="宋体"/>
                <w:color w:val="000000"/>
                <w:sz w:val="18"/>
                <w:szCs w:val="18"/>
              </w:rPr>
              <w:t>、</w:t>
            </w:r>
            <w:r>
              <w:rPr>
                <w:rFonts w:hint="eastAsia" w:ascii="宋体" w:hAnsi="宋体" w:eastAsia="宋体" w:cs="宋体"/>
                <w:color w:val="000000"/>
                <w:sz w:val="18"/>
                <w:szCs w:val="18"/>
              </w:rPr>
              <w:t>执业证；查</w:t>
            </w:r>
            <w:r>
              <w:rPr>
                <w:rFonts w:ascii="宋体" w:hAnsi="宋体" w:eastAsia="宋体" w:cs="宋体"/>
                <w:color w:val="000000"/>
                <w:sz w:val="18"/>
                <w:szCs w:val="18"/>
              </w:rPr>
              <w:t>安全生产委员会会议记录。</w:t>
            </w:r>
          </w:p>
        </w:tc>
        <w:tc>
          <w:tcPr>
            <w:tcW w:w="2617"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①《安全生产法》第二十一条第一款。</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②</w:t>
            </w:r>
            <w:r>
              <w:rPr>
                <w:rFonts w:ascii="宋体" w:hAnsi="宋体" w:eastAsia="宋体" w:cs="宋体"/>
                <w:color w:val="000000"/>
                <w:sz w:val="18"/>
                <w:szCs w:val="18"/>
              </w:rPr>
              <w:t>-⑤《山东省生产经营单位安全生产主体责任规定》第九条第一款。</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6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⑥</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《山东省安全生产条例》第十四条第一款</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、⑧《山东省生产经营单位安全生产主体责任规定》第十三条。</w:t>
            </w:r>
          </w:p>
        </w:tc>
        <w:tc>
          <w:tcPr>
            <w:tcW w:w="2627"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《安全生产法》第九十四条第（一）项。</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ascii="宋体" w:hAnsi="宋体" w:eastAsia="宋体" w:cs="宋体"/>
                <w:color w:val="000000"/>
                <w:sz w:val="18"/>
                <w:szCs w:val="18"/>
              </w:rPr>
              <w:t>《山东省生产经营单位安全生产主体责任规定》第九条第一款</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6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⑥</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《山东省安全生产条例》第四十二条第（二）项。</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8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⑧</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《山东省生产经营单位安全生产主体责任规定》第十三条。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eastAsia="宋体" w:cs="宋体"/>
                <w:color w:val="000000"/>
                <w:sz w:val="18"/>
                <w:szCs w:val="18"/>
              </w:rPr>
              <w:t>3</w:t>
            </w:r>
          </w:p>
        </w:tc>
        <w:tc>
          <w:tcPr>
            <w:tcW w:w="4432"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①是否按照规定对矿山建设项目进行安全评价；</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②矿山建设项目是否有安全设施设计或者安全设施设计是否按照规定报经有关部门审查同意；</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③矿山建设项目的施工单位是否按照批准的安全设施设计施工；</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④矿山建设项目竣工投入生产或者使用前，安全设施是否经验收合格；</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⑤已经批准的建设项目安全设施设计发生重大变更，是否存在生产经营单位未报原批准部门审查同意擅自开工建设的问题。</w:t>
            </w:r>
          </w:p>
        </w:tc>
        <w:tc>
          <w:tcPr>
            <w:tcW w:w="2566"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查阅安全预评价报告、安全验收评价报告、设计</w:t>
            </w:r>
            <w:r>
              <w:rPr>
                <w:rFonts w:ascii="宋体" w:hAnsi="宋体" w:eastAsia="宋体" w:cs="宋体"/>
                <w:color w:val="000000"/>
                <w:sz w:val="18"/>
                <w:szCs w:val="18"/>
              </w:rPr>
              <w:t>审查</w:t>
            </w:r>
            <w:r>
              <w:rPr>
                <w:rFonts w:hint="eastAsia" w:ascii="宋体" w:hAnsi="宋体" w:eastAsia="宋体" w:cs="宋体"/>
                <w:color w:val="000000"/>
                <w:sz w:val="18"/>
                <w:szCs w:val="18"/>
              </w:rPr>
              <w:t>批复文件、重大设计变更审查文件、竣工</w:t>
            </w:r>
            <w:r>
              <w:rPr>
                <w:rFonts w:ascii="宋体" w:hAnsi="宋体" w:eastAsia="宋体" w:cs="宋体"/>
                <w:color w:val="000000"/>
                <w:sz w:val="18"/>
                <w:szCs w:val="18"/>
              </w:rPr>
              <w:t>验收相关资料等。</w:t>
            </w:r>
          </w:p>
        </w:tc>
        <w:tc>
          <w:tcPr>
            <w:tcW w:w="2617" w:type="dxa"/>
            <w:vAlign w:val="center"/>
          </w:tcPr>
          <w:p>
            <w:pPr>
              <w:spacing w:line="22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《中华人民共和国</w:t>
            </w:r>
            <w:r>
              <w:rPr>
                <w:rFonts w:ascii="宋体" w:hAnsi="宋体" w:eastAsia="宋体" w:cs="宋体"/>
                <w:color w:val="000000"/>
                <w:sz w:val="18"/>
                <w:szCs w:val="18"/>
              </w:rPr>
              <w:t>安全生产法</w:t>
            </w:r>
            <w:r>
              <w:rPr>
                <w:rFonts w:hint="eastAsia" w:ascii="宋体" w:hAnsi="宋体" w:eastAsia="宋体" w:cs="宋体"/>
                <w:color w:val="000000"/>
                <w:sz w:val="18"/>
                <w:szCs w:val="18"/>
              </w:rPr>
              <w:t>》第二十九</w:t>
            </w:r>
            <w:r>
              <w:rPr>
                <w:rFonts w:ascii="宋体" w:hAnsi="宋体" w:eastAsia="宋体" w:cs="宋体"/>
                <w:color w:val="000000"/>
                <w:sz w:val="18"/>
                <w:szCs w:val="18"/>
              </w:rPr>
              <w:t>条</w:t>
            </w:r>
            <w:r>
              <w:rPr>
                <w:rFonts w:hint="eastAsia" w:ascii="宋体" w:hAnsi="宋体" w:eastAsia="宋体" w:cs="宋体"/>
                <w:color w:val="000000"/>
                <w:sz w:val="18"/>
                <w:szCs w:val="18"/>
              </w:rPr>
              <w:t>。②《中华人民共和国</w:t>
            </w:r>
            <w:r>
              <w:rPr>
                <w:rFonts w:ascii="宋体" w:hAnsi="宋体" w:eastAsia="宋体" w:cs="宋体"/>
                <w:color w:val="000000"/>
                <w:sz w:val="18"/>
                <w:szCs w:val="18"/>
              </w:rPr>
              <w:t>安全生产法</w:t>
            </w:r>
            <w:r>
              <w:rPr>
                <w:rFonts w:hint="eastAsia" w:ascii="宋体" w:hAnsi="宋体" w:eastAsia="宋体" w:cs="宋体"/>
                <w:color w:val="000000"/>
                <w:sz w:val="18"/>
                <w:szCs w:val="18"/>
              </w:rPr>
              <w:t>》第三十条</w:t>
            </w:r>
            <w:r>
              <w:rPr>
                <w:rFonts w:ascii="宋体" w:hAnsi="宋体" w:eastAsia="宋体" w:cs="宋体"/>
                <w:color w:val="000000"/>
                <w:sz w:val="18"/>
                <w:szCs w:val="18"/>
              </w:rPr>
              <w:t>第二款</w:t>
            </w:r>
            <w:r>
              <w:rPr>
                <w:rFonts w:hint="eastAsia" w:ascii="宋体" w:hAnsi="宋体" w:eastAsia="宋体" w:cs="宋体"/>
                <w:color w:val="000000"/>
                <w:sz w:val="18"/>
                <w:szCs w:val="18"/>
              </w:rPr>
              <w:t>。③《中华人民共和国安全生产法》第三十一条第一款。④《中华人民共和国安全生产法》第三十一条第二款</w:t>
            </w:r>
            <w:r>
              <w:rPr>
                <w:rFonts w:ascii="宋体" w:hAnsi="宋体" w:eastAsia="宋体" w:cs="宋体"/>
                <w:color w:val="000000"/>
                <w:sz w:val="18"/>
                <w:szCs w:val="18"/>
              </w:rPr>
              <w:t>。</w:t>
            </w:r>
            <w:r>
              <w:rPr>
                <w:rFonts w:hint="eastAsia" w:ascii="宋体" w:hAnsi="宋体" w:eastAsia="宋体" w:cs="宋体"/>
                <w:color w:val="000000"/>
                <w:sz w:val="18"/>
                <w:szCs w:val="18"/>
              </w:rPr>
              <w:t>⑤《建设项目安全设施“三同时”监督管理办法》</w:t>
            </w:r>
            <w:r>
              <w:rPr>
                <w:rFonts w:ascii="宋体" w:hAnsi="宋体" w:eastAsia="宋体" w:cs="宋体"/>
                <w:color w:val="000000"/>
                <w:sz w:val="18"/>
                <w:szCs w:val="18"/>
              </w:rPr>
              <w:t>第十五条</w:t>
            </w:r>
            <w:r>
              <w:rPr>
                <w:rFonts w:hint="eastAsia" w:ascii="宋体" w:hAnsi="宋体" w:eastAsia="宋体" w:cs="宋体"/>
                <w:color w:val="000000"/>
                <w:sz w:val="18"/>
                <w:szCs w:val="18"/>
              </w:rPr>
              <w:t>、《国家安全监管总局关于印发金属非金属矿山建设项目安全设施设计重大变更范围的通知》（安监总管一〔</w:t>
            </w:r>
            <w:r>
              <w:rPr>
                <w:rFonts w:ascii="宋体" w:hAnsi="宋体" w:eastAsia="宋体" w:cs="宋体"/>
                <w:color w:val="000000"/>
                <w:sz w:val="18"/>
                <w:szCs w:val="18"/>
              </w:rPr>
              <w:t>2016〕18号）。</w:t>
            </w:r>
          </w:p>
        </w:tc>
        <w:tc>
          <w:tcPr>
            <w:tcW w:w="2627"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①-④《</w:t>
            </w:r>
            <w:r>
              <w:rPr>
                <w:rFonts w:ascii="宋体" w:hAnsi="宋体" w:eastAsia="宋体" w:cs="宋体"/>
                <w:color w:val="000000"/>
                <w:sz w:val="18"/>
                <w:szCs w:val="18"/>
              </w:rPr>
              <w:t>安全生产法</w:t>
            </w:r>
            <w:r>
              <w:rPr>
                <w:rFonts w:hint="eastAsia" w:ascii="宋体" w:hAnsi="宋体" w:eastAsia="宋体" w:cs="宋体"/>
                <w:color w:val="000000"/>
                <w:sz w:val="18"/>
                <w:szCs w:val="18"/>
              </w:rPr>
              <w:t>》第九十五条。</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《建设项目安全设施“三同时”监督管理办法》</w:t>
            </w:r>
            <w:r>
              <w:rPr>
                <w:rFonts w:ascii="宋体" w:hAnsi="宋体" w:eastAsia="宋体" w:cs="宋体"/>
                <w:color w:val="000000"/>
                <w:sz w:val="18"/>
                <w:szCs w:val="18"/>
              </w:rPr>
              <w:t>第二十九条，责令限期改正，可以并处</w:t>
            </w:r>
            <w:r>
              <w:rPr>
                <w:rFonts w:hint="eastAsia" w:ascii="宋体" w:hAnsi="宋体" w:eastAsia="宋体" w:cs="宋体"/>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4</w:t>
            </w:r>
          </w:p>
        </w:tc>
        <w:tc>
          <w:tcPr>
            <w:tcW w:w="4432" w:type="dxa"/>
            <w:vAlign w:val="center"/>
          </w:tcPr>
          <w:p>
            <w:pPr>
              <w:pStyle w:val="86"/>
              <w:spacing w:line="240" w:lineRule="exact"/>
              <w:ind w:firstLine="0" w:firstLineChars="0"/>
              <w:jc w:val="left"/>
              <w:rPr>
                <w:rFonts w:ascii="宋体" w:hAnsi="宋体" w:eastAsia="宋体" w:cs="宋体"/>
                <w:color w:val="000000"/>
                <w:sz w:val="18"/>
                <w:szCs w:val="18"/>
              </w:rPr>
            </w:pPr>
            <w:r>
              <w:rPr>
                <w:rFonts w:hint="eastAsia" w:ascii="宋体" w:hAnsi="宋体" w:eastAsia="宋体" w:cs="宋体"/>
                <w:color w:val="000000"/>
                <w:sz w:val="18"/>
                <w:szCs w:val="18"/>
              </w:rPr>
              <w:t>①</w:t>
            </w:r>
            <w:r>
              <w:rPr>
                <w:rFonts w:hint="eastAsia" w:ascii="宋体" w:hAnsi="宋体" w:cs="宋体"/>
                <w:color w:val="000000"/>
                <w:sz w:val="18"/>
                <w:szCs w:val="18"/>
              </w:rPr>
              <w:t>建</w:t>
            </w:r>
            <w:r>
              <w:rPr>
                <w:rFonts w:hint="eastAsia" w:ascii="宋体" w:hAnsi="宋体" w:eastAsia="宋体" w:cs="宋体"/>
                <w:color w:val="000000"/>
                <w:sz w:val="18"/>
                <w:szCs w:val="18"/>
              </w:rPr>
              <w:t>立健全本单位安全生产责任制情况；</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②制定安全生产规章制度和操作规程情况。</w:t>
            </w:r>
          </w:p>
        </w:tc>
        <w:tc>
          <w:tcPr>
            <w:tcW w:w="2566"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查阅资料、抽查询问有关人员。</w:t>
            </w:r>
          </w:p>
        </w:tc>
        <w:tc>
          <w:tcPr>
            <w:tcW w:w="2617" w:type="dxa"/>
            <w:vAlign w:val="center"/>
          </w:tcPr>
          <w:p>
            <w:pPr>
              <w:spacing w:line="22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①《安全生产法》第十八条第一项、《山东省生产经营单位安全生产主体责任规定》第六条第一款。②《安全生产法》第十八条第二项、《山东省生产经营单位安全生产主体责任规定》第七条。</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《安全生产法》第九十一条第一款。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5</w:t>
            </w:r>
          </w:p>
        </w:tc>
        <w:tc>
          <w:tcPr>
            <w:tcW w:w="4432"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主要负责人和安全生产管理人员是否按照规定经考核合格；②是否存在特种作业人员未按照规定经专门的安全作业培训并取得相应资格，上岗作业问题；③是否存在特种作业人员伪造、涂改特种作业操作证或者使用伪造的特种作业操作证问题；④是否存在特种作业人员转借、转让、冒用特种作业操作证问题；⑤从业人员、被派遣劳动者、实习学生安全生产教育和培训情况；⑥从业人员安全培训的时间是否符合《生产经营单位安全培训规定》或者有关标准规定；</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矿山新招的井下作业人员，是否经实习期满独立上岗作业；</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8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⑧</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如实记录安全生产教育和培训情况；</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9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⑨</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特种作业人员档案建立健全情况。</w:t>
            </w:r>
          </w:p>
        </w:tc>
        <w:tc>
          <w:tcPr>
            <w:tcW w:w="2566"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查考核合格证明材料、特种作业操作证；</w:t>
            </w:r>
            <w:r>
              <w:rPr>
                <w:rFonts w:ascii="宋体" w:hAnsi="宋体" w:eastAsia="宋体" w:cs="宋体"/>
                <w:color w:val="000000"/>
                <w:sz w:val="18"/>
                <w:szCs w:val="18"/>
              </w:rPr>
              <w:t>能够证明</w:t>
            </w:r>
            <w:r>
              <w:rPr>
                <w:rFonts w:hint="eastAsia" w:ascii="宋体" w:hAnsi="宋体" w:eastAsia="宋体" w:cs="宋体"/>
                <w:color w:val="000000"/>
                <w:sz w:val="18"/>
                <w:szCs w:val="18"/>
              </w:rPr>
              <w:t>特种</w:t>
            </w:r>
            <w:r>
              <w:rPr>
                <w:rFonts w:ascii="宋体" w:hAnsi="宋体" w:eastAsia="宋体" w:cs="宋体"/>
                <w:color w:val="000000"/>
                <w:sz w:val="18"/>
                <w:szCs w:val="18"/>
              </w:rPr>
              <w:t>作业人员上岗作业的有关作业票证、</w:t>
            </w:r>
            <w:r>
              <w:rPr>
                <w:rFonts w:hint="eastAsia" w:ascii="宋体" w:hAnsi="宋体" w:eastAsia="宋体" w:cs="宋体"/>
                <w:color w:val="000000"/>
                <w:sz w:val="18"/>
                <w:szCs w:val="18"/>
              </w:rPr>
              <w:t>巡检</w:t>
            </w:r>
            <w:r>
              <w:rPr>
                <w:rFonts w:ascii="宋体" w:hAnsi="宋体" w:eastAsia="宋体" w:cs="宋体"/>
                <w:color w:val="000000"/>
                <w:sz w:val="18"/>
                <w:szCs w:val="18"/>
              </w:rPr>
              <w:t>记录及交接班记录等</w:t>
            </w:r>
            <w:r>
              <w:rPr>
                <w:rFonts w:hint="eastAsia" w:ascii="宋体" w:hAnsi="宋体" w:eastAsia="宋体" w:cs="宋体"/>
                <w:color w:val="000000"/>
                <w:sz w:val="18"/>
                <w:szCs w:val="18"/>
              </w:rPr>
              <w:t>；通过查询平台或</w:t>
            </w:r>
            <w:r>
              <w:rPr>
                <w:rFonts w:ascii="宋体" w:hAnsi="宋体" w:eastAsia="宋体" w:cs="宋体"/>
                <w:color w:val="000000"/>
                <w:sz w:val="18"/>
                <w:szCs w:val="18"/>
              </w:rPr>
              <w:t>设备验证特种</w:t>
            </w:r>
            <w:r>
              <w:rPr>
                <w:rFonts w:hint="eastAsia" w:ascii="宋体" w:hAnsi="宋体" w:eastAsia="宋体" w:cs="宋体"/>
                <w:color w:val="000000"/>
                <w:sz w:val="18"/>
                <w:szCs w:val="18"/>
              </w:rPr>
              <w:t>作业</w:t>
            </w:r>
            <w:r>
              <w:rPr>
                <w:rFonts w:ascii="宋体" w:hAnsi="宋体" w:eastAsia="宋体" w:cs="宋体"/>
                <w:color w:val="000000"/>
                <w:sz w:val="18"/>
                <w:szCs w:val="18"/>
              </w:rPr>
              <w:t>操作证真实性及复审情况；</w:t>
            </w:r>
            <w:r>
              <w:rPr>
                <w:rFonts w:hint="eastAsia" w:ascii="宋体" w:hAnsi="宋体" w:eastAsia="宋体" w:cs="宋体"/>
                <w:color w:val="000000"/>
                <w:sz w:val="18"/>
                <w:szCs w:val="18"/>
              </w:rPr>
              <w:t>抽查近</w:t>
            </w:r>
            <w:r>
              <w:rPr>
                <w:rFonts w:ascii="宋体" w:hAnsi="宋体" w:eastAsia="宋体" w:cs="宋体"/>
                <w:color w:val="000000"/>
                <w:sz w:val="18"/>
                <w:szCs w:val="18"/>
              </w:rPr>
              <w:t>2年来新</w:t>
            </w:r>
            <w:r>
              <w:rPr>
                <w:rFonts w:hint="eastAsia" w:ascii="宋体" w:hAnsi="宋体" w:eastAsia="宋体" w:cs="宋体"/>
                <w:color w:val="000000"/>
                <w:sz w:val="18"/>
                <w:szCs w:val="18"/>
              </w:rPr>
              <w:t>上岗</w:t>
            </w:r>
            <w:r>
              <w:rPr>
                <w:rFonts w:ascii="宋体" w:hAnsi="宋体" w:eastAsia="宋体" w:cs="宋体"/>
                <w:color w:val="000000"/>
                <w:sz w:val="18"/>
                <w:szCs w:val="18"/>
              </w:rPr>
              <w:t>、</w:t>
            </w:r>
            <w:r>
              <w:rPr>
                <w:rFonts w:hint="eastAsia" w:ascii="宋体" w:hAnsi="宋体" w:eastAsia="宋体" w:cs="宋体"/>
                <w:color w:val="000000"/>
                <w:sz w:val="18"/>
                <w:szCs w:val="18"/>
              </w:rPr>
              <w:t>再培训</w:t>
            </w:r>
            <w:r>
              <w:rPr>
                <w:rFonts w:ascii="宋体" w:hAnsi="宋体" w:eastAsia="宋体" w:cs="宋体"/>
                <w:color w:val="000000"/>
                <w:sz w:val="18"/>
                <w:szCs w:val="18"/>
              </w:rPr>
              <w:t>、转岗</w:t>
            </w:r>
            <w:r>
              <w:rPr>
                <w:rFonts w:hint="eastAsia" w:ascii="宋体" w:hAnsi="宋体" w:eastAsia="宋体" w:cs="宋体"/>
                <w:color w:val="000000"/>
                <w:sz w:val="18"/>
                <w:szCs w:val="18"/>
              </w:rPr>
              <w:t>等</w:t>
            </w:r>
            <w:r>
              <w:rPr>
                <w:rFonts w:ascii="宋体" w:hAnsi="宋体" w:eastAsia="宋体" w:cs="宋体"/>
                <w:color w:val="000000"/>
                <w:sz w:val="18"/>
                <w:szCs w:val="18"/>
              </w:rPr>
              <w:t>教育培训档案</w:t>
            </w:r>
            <w:r>
              <w:rPr>
                <w:rFonts w:hint="eastAsia" w:ascii="宋体" w:hAnsi="宋体" w:eastAsia="宋体" w:cs="宋体"/>
                <w:color w:val="000000"/>
                <w:sz w:val="18"/>
                <w:szCs w:val="18"/>
              </w:rPr>
              <w:t>，</w:t>
            </w:r>
            <w:r>
              <w:rPr>
                <w:rFonts w:ascii="宋体" w:hAnsi="宋体" w:eastAsia="宋体" w:cs="宋体"/>
                <w:color w:val="000000"/>
                <w:sz w:val="18"/>
                <w:szCs w:val="18"/>
              </w:rPr>
              <w:t>查看培训考试试卷、培训记录等材料</w:t>
            </w:r>
            <w:r>
              <w:rPr>
                <w:rFonts w:hint="eastAsia" w:ascii="宋体" w:hAnsi="宋体" w:eastAsia="宋体" w:cs="宋体"/>
                <w:color w:val="000000"/>
                <w:sz w:val="18"/>
                <w:szCs w:val="18"/>
              </w:rPr>
              <w:t>； 查被派遣劳动者、实习学生的</w:t>
            </w:r>
            <w:r>
              <w:rPr>
                <w:rFonts w:ascii="宋体" w:hAnsi="宋体" w:eastAsia="宋体" w:cs="宋体"/>
                <w:color w:val="000000"/>
                <w:sz w:val="18"/>
                <w:szCs w:val="18"/>
              </w:rPr>
              <w:t>安全教育培训档案材料</w:t>
            </w:r>
            <w:r>
              <w:rPr>
                <w:rFonts w:hint="eastAsia" w:ascii="宋体" w:hAnsi="宋体" w:eastAsia="宋体" w:cs="宋体"/>
                <w:color w:val="000000"/>
                <w:sz w:val="18"/>
                <w:szCs w:val="18"/>
              </w:rPr>
              <w:t>、</w:t>
            </w:r>
            <w:r>
              <w:rPr>
                <w:rFonts w:ascii="宋体" w:hAnsi="宋体" w:eastAsia="宋体" w:cs="宋体"/>
                <w:color w:val="000000"/>
                <w:sz w:val="18"/>
                <w:szCs w:val="18"/>
              </w:rPr>
              <w:t>特种作业人员档案等。</w:t>
            </w:r>
          </w:p>
        </w:tc>
        <w:tc>
          <w:tcPr>
            <w:tcW w:w="2617" w:type="dxa"/>
            <w:vAlign w:val="center"/>
          </w:tcPr>
          <w:p>
            <w:pPr>
              <w:pStyle w:val="86"/>
              <w:spacing w:line="220" w:lineRule="exact"/>
              <w:ind w:firstLine="0" w:firstLineChars="0"/>
              <w:jc w:val="left"/>
              <w:rPr>
                <w:rFonts w:ascii="宋体" w:hAnsi="宋体" w:eastAsia="宋体" w:cs="宋体"/>
                <w:color w:val="000000"/>
                <w:sz w:val="18"/>
                <w:szCs w:val="18"/>
              </w:rPr>
            </w:pPr>
            <w:r>
              <w:rPr>
                <w:rFonts w:hint="eastAsia" w:ascii="宋体" w:hAnsi="宋体" w:eastAsia="宋体" w:cs="宋体"/>
                <w:color w:val="000000"/>
                <w:sz w:val="18"/>
                <w:szCs w:val="18"/>
              </w:rPr>
              <w:t>①</w:t>
            </w:r>
            <w:r>
              <w:rPr>
                <w:rFonts w:ascii="宋体" w:hAnsi="宋体" w:eastAsia="宋体" w:cs="宋体"/>
                <w:color w:val="000000"/>
                <w:sz w:val="18"/>
                <w:szCs w:val="18"/>
              </w:rPr>
              <w:t>《安全生产法》</w:t>
            </w:r>
            <w:r>
              <w:rPr>
                <w:rFonts w:hint="eastAsia" w:ascii="宋体" w:hAnsi="宋体" w:eastAsia="宋体" w:cs="宋体"/>
                <w:color w:val="000000"/>
                <w:sz w:val="18"/>
                <w:szCs w:val="18"/>
              </w:rPr>
              <w:t>，第二十四条第二款</w:t>
            </w:r>
            <w:r>
              <w:rPr>
                <w:rFonts w:hint="eastAsia" w:ascii="宋体" w:hAnsi="宋体" w:cs="宋体"/>
                <w:color w:val="000000"/>
                <w:sz w:val="18"/>
                <w:szCs w:val="18"/>
              </w:rPr>
              <w:t>。</w:t>
            </w:r>
            <w:r>
              <w:rPr>
                <w:rFonts w:hint="eastAsia" w:ascii="宋体" w:hAnsi="宋体" w:eastAsia="宋体" w:cs="宋体"/>
                <w:color w:val="000000"/>
                <w:sz w:val="18"/>
                <w:szCs w:val="18"/>
              </w:rPr>
              <w:t>②《安全生产法》第二十七条第一款。③《特种作业人员安全技术培训考核管理规定》</w:t>
            </w:r>
            <w:r>
              <w:rPr>
                <w:rFonts w:ascii="宋体" w:hAnsi="宋体" w:eastAsia="宋体" w:cs="宋体"/>
                <w:color w:val="000000"/>
                <w:sz w:val="18"/>
                <w:szCs w:val="18"/>
              </w:rPr>
              <w:t>第三十六条第二款</w:t>
            </w:r>
            <w:r>
              <w:rPr>
                <w:rFonts w:hint="eastAsia" w:ascii="宋体" w:hAnsi="宋体" w:eastAsia="宋体" w:cs="宋体"/>
                <w:color w:val="000000"/>
                <w:sz w:val="18"/>
                <w:szCs w:val="18"/>
              </w:rPr>
              <w:t>。④《特种作业人员安全技术培训考核管理规定》</w:t>
            </w:r>
            <w:r>
              <w:rPr>
                <w:rFonts w:ascii="宋体" w:hAnsi="宋体" w:eastAsia="宋体" w:cs="宋体"/>
                <w:color w:val="000000"/>
                <w:sz w:val="18"/>
                <w:szCs w:val="18"/>
              </w:rPr>
              <w:t>第三十六条第二款</w:t>
            </w:r>
            <w:r>
              <w:rPr>
                <w:rFonts w:hint="eastAsia" w:ascii="宋体" w:hAnsi="宋体" w:eastAsia="宋体" w:cs="宋体"/>
                <w:color w:val="000000"/>
                <w:sz w:val="18"/>
                <w:szCs w:val="18"/>
              </w:rPr>
              <w:t>。⑤《安全生产法》第二十五条第一、二、三款。⑥《生产经营单位安全培训规定》第十三条第二款和《安全生产培训管理办法》第十一条。⑦《安全生产培训管理办法》</w:t>
            </w:r>
            <w:r>
              <w:rPr>
                <w:rFonts w:ascii="宋体" w:hAnsi="宋体" w:eastAsia="宋体" w:cs="宋体"/>
                <w:color w:val="000000"/>
                <w:sz w:val="18"/>
                <w:szCs w:val="18"/>
              </w:rPr>
              <w:t>第十三条第二款</w:t>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8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⑧</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《安全生产法》第二十五条第四款。</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9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⑨</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《特种作业人员安全技术培训考核管理规定》</w:t>
            </w:r>
            <w:r>
              <w:rPr>
                <w:rFonts w:ascii="宋体" w:hAnsi="宋体" w:eastAsia="宋体" w:cs="宋体"/>
                <w:color w:val="000000"/>
                <w:sz w:val="18"/>
                <w:szCs w:val="18"/>
              </w:rPr>
              <w:t>第三十四条</w:t>
            </w:r>
            <w:r>
              <w:rPr>
                <w:rFonts w:hint="eastAsia" w:ascii="宋体" w:hAnsi="宋体" w:eastAsia="宋体" w:cs="宋体"/>
                <w:color w:val="000000"/>
                <w:sz w:val="18"/>
                <w:szCs w:val="18"/>
              </w:rPr>
              <w:t>。</w:t>
            </w:r>
          </w:p>
        </w:tc>
        <w:tc>
          <w:tcPr>
            <w:tcW w:w="2627" w:type="dxa"/>
            <w:vAlign w:val="center"/>
          </w:tcPr>
          <w:p>
            <w:pPr>
              <w:spacing w:line="22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《国安全生产法》第九十四条第（二）项。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《安全生产法》第九十四条第</w:t>
            </w:r>
            <w:r>
              <w:rPr>
                <w:rFonts w:ascii="宋体" w:hAnsi="宋体" w:eastAsia="宋体" w:cs="宋体"/>
                <w:color w:val="000000"/>
                <w:sz w:val="18"/>
                <w:szCs w:val="18"/>
              </w:rPr>
              <w:t>（</w:t>
            </w:r>
            <w:r>
              <w:rPr>
                <w:rFonts w:hint="eastAsia" w:ascii="宋体" w:hAnsi="宋体" w:eastAsia="宋体" w:cs="宋体"/>
                <w:color w:val="000000"/>
                <w:sz w:val="18"/>
                <w:szCs w:val="18"/>
              </w:rPr>
              <w:t>七</w:t>
            </w:r>
            <w:r>
              <w:rPr>
                <w:rFonts w:ascii="宋体" w:hAnsi="宋体" w:eastAsia="宋体" w:cs="宋体"/>
                <w:color w:val="000000"/>
                <w:sz w:val="18"/>
                <w:szCs w:val="18"/>
              </w:rPr>
              <w:t>）</w:t>
            </w:r>
            <w:r>
              <w:rPr>
                <w:rFonts w:hint="eastAsia" w:ascii="宋体" w:hAnsi="宋体" w:eastAsia="宋体" w:cs="宋体"/>
                <w:color w:val="000000"/>
                <w:sz w:val="18"/>
                <w:szCs w:val="18"/>
              </w:rPr>
              <w:t>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《特种作业人员安全技术培训考核管理规定》</w:t>
            </w:r>
            <w:r>
              <w:rPr>
                <w:rFonts w:ascii="宋体" w:hAnsi="宋体" w:eastAsia="宋体" w:cs="宋体"/>
                <w:color w:val="000000"/>
                <w:sz w:val="18"/>
                <w:szCs w:val="18"/>
              </w:rPr>
              <w:t>第四十一条第一款</w:t>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4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④</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《特种作业人员安全技术培训考核管理规定》</w:t>
            </w:r>
            <w:r>
              <w:rPr>
                <w:rFonts w:ascii="宋体" w:hAnsi="宋体" w:eastAsia="宋体" w:cs="宋体"/>
                <w:color w:val="000000"/>
                <w:sz w:val="18"/>
                <w:szCs w:val="18"/>
              </w:rPr>
              <w:t>第四十一条第二款</w:t>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《安全生产法》第九十四条第（三）项。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6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⑥</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《安全生产培训管理办法》</w:t>
            </w:r>
            <w:r>
              <w:rPr>
                <w:rFonts w:ascii="宋体" w:hAnsi="宋体" w:eastAsia="宋体" w:cs="宋体"/>
                <w:color w:val="000000"/>
                <w:sz w:val="18"/>
                <w:szCs w:val="18"/>
              </w:rPr>
              <w:t>第三十六条</w:t>
            </w:r>
            <w:r>
              <w:rPr>
                <w:rFonts w:hint="eastAsia" w:ascii="宋体" w:hAnsi="宋体" w:eastAsia="宋体" w:cs="宋体"/>
                <w:color w:val="000000"/>
                <w:sz w:val="18"/>
                <w:szCs w:val="18"/>
              </w:rPr>
              <w:t>第</w:t>
            </w:r>
            <w:r>
              <w:rPr>
                <w:rFonts w:ascii="宋体" w:hAnsi="宋体" w:eastAsia="宋体" w:cs="宋体"/>
                <w:color w:val="000000"/>
                <w:sz w:val="18"/>
                <w:szCs w:val="18"/>
              </w:rPr>
              <w:t>（</w:t>
            </w:r>
            <w:r>
              <w:rPr>
                <w:rFonts w:hint="eastAsia" w:ascii="宋体" w:hAnsi="宋体" w:eastAsia="宋体" w:cs="宋体"/>
                <w:color w:val="000000"/>
                <w:sz w:val="18"/>
                <w:szCs w:val="18"/>
              </w:rPr>
              <w:t>一</w:t>
            </w:r>
            <w:r>
              <w:rPr>
                <w:rFonts w:ascii="宋体" w:hAnsi="宋体" w:eastAsia="宋体" w:cs="宋体"/>
                <w:color w:val="000000"/>
                <w:sz w:val="18"/>
                <w:szCs w:val="18"/>
              </w:rPr>
              <w:t>）</w:t>
            </w:r>
            <w:r>
              <w:rPr>
                <w:rFonts w:hint="eastAsia" w:ascii="宋体" w:hAnsi="宋体" w:eastAsia="宋体" w:cs="宋体"/>
                <w:color w:val="000000"/>
                <w:sz w:val="18"/>
                <w:szCs w:val="18"/>
              </w:rPr>
              <w:t>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《安全生产培训管理办法》</w:t>
            </w:r>
            <w:r>
              <w:rPr>
                <w:rFonts w:ascii="宋体" w:hAnsi="宋体" w:eastAsia="宋体" w:cs="宋体"/>
                <w:color w:val="000000"/>
                <w:sz w:val="18"/>
                <w:szCs w:val="18"/>
              </w:rPr>
              <w:t>第三十六条</w:t>
            </w:r>
            <w:r>
              <w:rPr>
                <w:rFonts w:hint="eastAsia" w:ascii="宋体" w:hAnsi="宋体" w:eastAsia="宋体" w:cs="宋体"/>
                <w:color w:val="000000"/>
                <w:sz w:val="18"/>
                <w:szCs w:val="18"/>
              </w:rPr>
              <w:t>第</w:t>
            </w:r>
            <w:r>
              <w:rPr>
                <w:rFonts w:ascii="宋体" w:hAnsi="宋体" w:eastAsia="宋体" w:cs="宋体"/>
                <w:color w:val="000000"/>
                <w:sz w:val="18"/>
                <w:szCs w:val="18"/>
              </w:rPr>
              <w:t>（</w:t>
            </w:r>
            <w:r>
              <w:rPr>
                <w:rFonts w:hint="eastAsia" w:ascii="宋体" w:hAnsi="宋体" w:eastAsia="宋体" w:cs="宋体"/>
                <w:color w:val="000000"/>
                <w:sz w:val="18"/>
                <w:szCs w:val="18"/>
              </w:rPr>
              <w:t>二</w:t>
            </w:r>
            <w:r>
              <w:rPr>
                <w:rFonts w:ascii="宋体" w:hAnsi="宋体" w:eastAsia="宋体" w:cs="宋体"/>
                <w:color w:val="000000"/>
                <w:sz w:val="18"/>
                <w:szCs w:val="18"/>
              </w:rPr>
              <w:t>）</w:t>
            </w:r>
            <w:r>
              <w:rPr>
                <w:rFonts w:hint="eastAsia" w:ascii="宋体" w:hAnsi="宋体" w:eastAsia="宋体" w:cs="宋体"/>
                <w:color w:val="000000"/>
                <w:sz w:val="18"/>
                <w:szCs w:val="18"/>
              </w:rPr>
              <w:t>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8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⑧</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《安全生产法》第九十四条第（四）项。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9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⑨</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《特种作业人员安全技术培训考核管理规定》</w:t>
            </w:r>
            <w:r>
              <w:rPr>
                <w:rFonts w:ascii="宋体" w:hAnsi="宋体" w:eastAsia="宋体" w:cs="宋体"/>
                <w:color w:val="000000"/>
                <w:sz w:val="18"/>
                <w:szCs w:val="18"/>
              </w:rPr>
              <w:t>第三十八条</w:t>
            </w:r>
            <w:r>
              <w:rPr>
                <w:rFonts w:hint="eastAsia" w:ascii="宋体" w:hAnsi="宋体" w:eastAsia="宋体" w:cs="宋体"/>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6</w:t>
            </w:r>
          </w:p>
        </w:tc>
        <w:tc>
          <w:tcPr>
            <w:tcW w:w="4432"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安全生产费用提取和使用情况；</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 xml:space="preserve">②安全生产责任保险缴纳情况。 </w:t>
            </w:r>
          </w:p>
        </w:tc>
        <w:tc>
          <w:tcPr>
            <w:tcW w:w="2566"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查</w:t>
            </w:r>
            <w:r>
              <w:rPr>
                <w:rFonts w:ascii="宋体" w:hAnsi="宋体" w:eastAsia="宋体" w:cs="宋体"/>
                <w:color w:val="000000"/>
                <w:sz w:val="18"/>
                <w:szCs w:val="18"/>
              </w:rPr>
              <w:t>企业</w:t>
            </w:r>
            <w:r>
              <w:rPr>
                <w:rFonts w:hint="eastAsia" w:ascii="宋体" w:hAnsi="宋体" w:eastAsia="宋体" w:cs="宋体"/>
                <w:color w:val="000000"/>
                <w:sz w:val="18"/>
                <w:szCs w:val="18"/>
              </w:rPr>
              <w:t>安全生产</w:t>
            </w:r>
            <w:r>
              <w:rPr>
                <w:rFonts w:ascii="宋体" w:hAnsi="宋体" w:eastAsia="宋体" w:cs="宋体"/>
                <w:color w:val="000000"/>
                <w:sz w:val="18"/>
                <w:szCs w:val="18"/>
              </w:rPr>
              <w:t>提取使用</w:t>
            </w:r>
            <w:r>
              <w:rPr>
                <w:rFonts w:hint="eastAsia" w:ascii="宋体" w:hAnsi="宋体" w:eastAsia="宋体" w:cs="宋体"/>
                <w:color w:val="000000"/>
                <w:sz w:val="18"/>
                <w:szCs w:val="18"/>
              </w:rPr>
              <w:t>管理制度</w:t>
            </w:r>
            <w:r>
              <w:rPr>
                <w:rFonts w:ascii="宋体" w:hAnsi="宋体" w:eastAsia="宋体" w:cs="宋体"/>
                <w:color w:val="000000"/>
                <w:sz w:val="18"/>
                <w:szCs w:val="18"/>
              </w:rPr>
              <w:t>、</w:t>
            </w:r>
            <w:r>
              <w:rPr>
                <w:rFonts w:hint="eastAsia" w:ascii="宋体" w:hAnsi="宋体" w:eastAsia="宋体" w:cs="宋体"/>
                <w:color w:val="000000"/>
                <w:sz w:val="18"/>
                <w:szCs w:val="18"/>
              </w:rPr>
              <w:t>提取</w:t>
            </w:r>
            <w:r>
              <w:rPr>
                <w:rFonts w:ascii="宋体" w:hAnsi="宋体" w:eastAsia="宋体" w:cs="宋体"/>
                <w:color w:val="000000"/>
                <w:sz w:val="18"/>
                <w:szCs w:val="18"/>
              </w:rPr>
              <w:t>和使用台账；</w:t>
            </w:r>
            <w:r>
              <w:rPr>
                <w:rFonts w:hint="eastAsia" w:ascii="宋体" w:hAnsi="宋体" w:eastAsia="宋体" w:cs="宋体"/>
                <w:color w:val="000000"/>
                <w:sz w:val="18"/>
                <w:szCs w:val="18"/>
              </w:rPr>
              <w:t>查看企业花名册、安全生产责任保险缴纳凭证，重点查看缴纳投保人数是否与企业实际相符。</w:t>
            </w:r>
          </w:p>
        </w:tc>
        <w:tc>
          <w:tcPr>
            <w:tcW w:w="2617"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①《山东省安全生产条例》第十七条第一款、《企业安全生产费用提取和使用管理办法》（财企【</w:t>
            </w:r>
            <w:r>
              <w:rPr>
                <w:rFonts w:ascii="宋体" w:hAnsi="宋体" w:eastAsia="宋体" w:cs="宋体"/>
                <w:color w:val="000000"/>
                <w:sz w:val="18"/>
                <w:szCs w:val="18"/>
              </w:rPr>
              <w:t>2012】16号</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②《山东省安全生产条例》第二十六条第二款、《安全生产责任保险实施办法》（安监总办【</w:t>
            </w:r>
            <w:r>
              <w:rPr>
                <w:rFonts w:ascii="宋体" w:hAnsi="宋体" w:eastAsia="宋体" w:cs="宋体"/>
                <w:color w:val="000000"/>
                <w:sz w:val="18"/>
                <w:szCs w:val="18"/>
              </w:rPr>
              <w:t>2017】140</w:t>
            </w:r>
            <w:r>
              <w:rPr>
                <w:rFonts w:hint="eastAsia" w:ascii="宋体" w:hAnsi="宋体" w:eastAsia="宋体" w:cs="宋体"/>
                <w:color w:val="000000"/>
                <w:sz w:val="18"/>
                <w:szCs w:val="18"/>
              </w:rPr>
              <w:t>）</w:t>
            </w:r>
            <w:r>
              <w:rPr>
                <w:rFonts w:ascii="宋体" w:hAnsi="宋体" w:eastAsia="宋体" w:cs="宋体"/>
                <w:color w:val="000000"/>
                <w:sz w:val="18"/>
                <w:szCs w:val="18"/>
              </w:rPr>
              <w:t>号</w:t>
            </w:r>
            <w:r>
              <w:rPr>
                <w:rFonts w:hint="eastAsia" w:ascii="宋体" w:hAnsi="宋体" w:eastAsia="宋体" w:cs="宋体"/>
                <w:color w:val="000000"/>
                <w:sz w:val="18"/>
                <w:szCs w:val="18"/>
              </w:rPr>
              <w:t>。</w:t>
            </w:r>
          </w:p>
        </w:tc>
        <w:tc>
          <w:tcPr>
            <w:tcW w:w="2627"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《山东省安全生产条例》第四十二条第（四）项。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《山东省生产经营单位安全生产主体责任规定》第三十五条第（二）项。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7</w:t>
            </w:r>
          </w:p>
        </w:tc>
        <w:tc>
          <w:tcPr>
            <w:tcW w:w="4432"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①是否按照规定制定事故应急预案；</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②事故应急预案演练情况；</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③是否按照规定进行应急预案备案；</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④在应急预案编制前是否按照规定开展风险辨识、评估和应急资源调查；</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⑤是否按照规定开展应急预案评审；</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⑥事故风险可能影响周边单位、人员的，是否将事故风险的性质、影响范围和应急防范措施告知周边单位和人员；</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是否按照规定开展应急预案评估；</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8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⑧</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 xml:space="preserve">是否按照规定进行应急预案修订； </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9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⑨</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是否落实应急预案规定的应急物资及装备。</w:t>
            </w:r>
          </w:p>
        </w:tc>
        <w:tc>
          <w:tcPr>
            <w:tcW w:w="2566"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查看应急预案文本、备案登记表、演练记录、风险</w:t>
            </w:r>
            <w:r>
              <w:rPr>
                <w:rFonts w:ascii="宋体" w:hAnsi="宋体" w:eastAsia="宋体" w:cs="宋体"/>
                <w:color w:val="000000"/>
                <w:sz w:val="18"/>
                <w:szCs w:val="18"/>
              </w:rPr>
              <w:t>辨识</w:t>
            </w:r>
            <w:r>
              <w:rPr>
                <w:rFonts w:hint="eastAsia" w:ascii="宋体" w:hAnsi="宋体" w:eastAsia="宋体" w:cs="宋体"/>
                <w:color w:val="000000"/>
                <w:sz w:val="18"/>
                <w:szCs w:val="18"/>
              </w:rPr>
              <w:t>、</w:t>
            </w:r>
            <w:r>
              <w:rPr>
                <w:rFonts w:ascii="宋体" w:hAnsi="宋体" w:eastAsia="宋体" w:cs="宋体"/>
                <w:color w:val="000000"/>
                <w:sz w:val="18"/>
                <w:szCs w:val="18"/>
              </w:rPr>
              <w:t>评估</w:t>
            </w:r>
            <w:r>
              <w:rPr>
                <w:rFonts w:hint="eastAsia" w:ascii="宋体" w:hAnsi="宋体" w:eastAsia="宋体" w:cs="宋体"/>
                <w:color w:val="000000"/>
                <w:sz w:val="18"/>
                <w:szCs w:val="18"/>
              </w:rPr>
              <w:t>和</w:t>
            </w:r>
            <w:r>
              <w:rPr>
                <w:rFonts w:ascii="宋体" w:hAnsi="宋体" w:eastAsia="宋体" w:cs="宋体"/>
                <w:color w:val="000000"/>
                <w:sz w:val="18"/>
                <w:szCs w:val="18"/>
              </w:rPr>
              <w:t>应急资源调查文本</w:t>
            </w:r>
            <w:r>
              <w:rPr>
                <w:rFonts w:hint="eastAsia" w:ascii="宋体" w:hAnsi="宋体" w:eastAsia="宋体" w:cs="宋体"/>
                <w:color w:val="000000"/>
                <w:sz w:val="18"/>
                <w:szCs w:val="18"/>
              </w:rPr>
              <w:t>，评审、</w:t>
            </w:r>
            <w:r>
              <w:rPr>
                <w:rFonts w:ascii="宋体" w:hAnsi="宋体" w:eastAsia="宋体" w:cs="宋体"/>
                <w:color w:val="000000"/>
                <w:sz w:val="18"/>
                <w:szCs w:val="18"/>
              </w:rPr>
              <w:t>评估、修订</w:t>
            </w:r>
            <w:r>
              <w:rPr>
                <w:rFonts w:hint="eastAsia" w:ascii="宋体" w:hAnsi="宋体" w:eastAsia="宋体" w:cs="宋体"/>
                <w:color w:val="000000"/>
                <w:sz w:val="18"/>
                <w:szCs w:val="18"/>
              </w:rPr>
              <w:t>记录，</w:t>
            </w:r>
            <w:r>
              <w:rPr>
                <w:rFonts w:ascii="宋体" w:hAnsi="宋体" w:eastAsia="宋体" w:cs="宋体"/>
                <w:color w:val="000000"/>
                <w:sz w:val="18"/>
                <w:szCs w:val="18"/>
              </w:rPr>
              <w:t>询问</w:t>
            </w:r>
            <w:r>
              <w:rPr>
                <w:rFonts w:hint="eastAsia" w:ascii="宋体" w:hAnsi="宋体" w:eastAsia="宋体" w:cs="宋体"/>
                <w:color w:val="000000"/>
                <w:sz w:val="18"/>
                <w:szCs w:val="18"/>
              </w:rPr>
              <w:t>相关</w:t>
            </w:r>
            <w:r>
              <w:rPr>
                <w:rFonts w:ascii="宋体" w:hAnsi="宋体" w:eastAsia="宋体" w:cs="宋体"/>
                <w:color w:val="000000"/>
                <w:sz w:val="18"/>
                <w:szCs w:val="18"/>
              </w:rPr>
              <w:t>人员</w:t>
            </w:r>
            <w:r>
              <w:rPr>
                <w:rFonts w:hint="eastAsia" w:ascii="宋体" w:hAnsi="宋体" w:eastAsia="宋体" w:cs="宋体"/>
                <w:color w:val="000000"/>
                <w:sz w:val="18"/>
                <w:szCs w:val="18"/>
              </w:rPr>
              <w:t>等。</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对照应急预案中的应急物资、装备清单，现场</w:t>
            </w:r>
            <w:r>
              <w:rPr>
                <w:rFonts w:ascii="宋体" w:hAnsi="宋体" w:eastAsia="宋体" w:cs="宋体"/>
                <w:color w:val="000000"/>
                <w:sz w:val="18"/>
                <w:szCs w:val="18"/>
              </w:rPr>
              <w:t>验证</w:t>
            </w:r>
            <w:r>
              <w:rPr>
                <w:rFonts w:hint="eastAsia" w:ascii="宋体" w:hAnsi="宋体" w:eastAsia="宋体" w:cs="宋体"/>
                <w:color w:val="000000"/>
                <w:sz w:val="18"/>
                <w:szCs w:val="18"/>
              </w:rPr>
              <w:t>实际</w:t>
            </w:r>
            <w:r>
              <w:rPr>
                <w:rFonts w:ascii="宋体" w:hAnsi="宋体" w:eastAsia="宋体" w:cs="宋体"/>
                <w:color w:val="000000"/>
                <w:sz w:val="18"/>
                <w:szCs w:val="18"/>
              </w:rPr>
              <w:t>配备数量</w:t>
            </w:r>
            <w:r>
              <w:rPr>
                <w:rFonts w:hint="eastAsia" w:ascii="宋体" w:hAnsi="宋体" w:eastAsia="宋体" w:cs="宋体"/>
                <w:color w:val="000000"/>
                <w:sz w:val="18"/>
                <w:szCs w:val="18"/>
              </w:rPr>
              <w:t>、</w:t>
            </w:r>
            <w:r>
              <w:rPr>
                <w:rFonts w:ascii="宋体" w:hAnsi="宋体" w:eastAsia="宋体" w:cs="宋体"/>
                <w:color w:val="000000"/>
                <w:sz w:val="18"/>
                <w:szCs w:val="18"/>
              </w:rPr>
              <w:t>种类是否与预案一致</w:t>
            </w:r>
            <w:r>
              <w:rPr>
                <w:rFonts w:hint="eastAsia" w:ascii="宋体" w:hAnsi="宋体" w:eastAsia="宋体" w:cs="宋体"/>
                <w:color w:val="000000"/>
                <w:sz w:val="18"/>
                <w:szCs w:val="18"/>
              </w:rPr>
              <w:t>。</w:t>
            </w:r>
          </w:p>
        </w:tc>
        <w:tc>
          <w:tcPr>
            <w:tcW w:w="2617"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①《安全生产法》第七十八条。</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②《安全生产法》第七十八条、《生产安全事故应急预案管理办法》第</w:t>
            </w:r>
            <w:r>
              <w:rPr>
                <w:rFonts w:ascii="宋体" w:hAnsi="宋体" w:eastAsia="宋体" w:cs="宋体"/>
                <w:color w:val="000000"/>
                <w:sz w:val="18"/>
                <w:szCs w:val="18"/>
              </w:rPr>
              <w:t>三十三条</w:t>
            </w:r>
            <w:r>
              <w:rPr>
                <w:rFonts w:hint="eastAsia" w:ascii="宋体" w:hAnsi="宋体" w:eastAsia="宋体" w:cs="宋体"/>
                <w:color w:val="000000"/>
                <w:sz w:val="18"/>
                <w:szCs w:val="18"/>
              </w:rPr>
              <w:t>第二款。</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③《生产安全事故应急条例》第七条。</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④《生产安全事故应急预案管理办法》第十条</w:t>
            </w:r>
            <w:r>
              <w:rPr>
                <w:rFonts w:ascii="宋体" w:hAnsi="宋体" w:eastAsia="宋体" w:cs="宋体"/>
                <w:color w:val="000000"/>
                <w:sz w:val="18"/>
                <w:szCs w:val="18"/>
              </w:rPr>
              <w:t>第一款。</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⑤《生产安全事故应急预案管理办法》第</w:t>
            </w:r>
            <w:r>
              <w:rPr>
                <w:rFonts w:ascii="宋体" w:hAnsi="宋体" w:eastAsia="宋体" w:cs="宋体"/>
                <w:color w:val="000000"/>
                <w:sz w:val="18"/>
                <w:szCs w:val="18"/>
              </w:rPr>
              <w:t>二十一条</w:t>
            </w:r>
            <w:r>
              <w:rPr>
                <w:rFonts w:hint="eastAsia" w:ascii="宋体" w:hAnsi="宋体" w:eastAsia="宋体" w:cs="宋体"/>
                <w:color w:val="000000"/>
                <w:sz w:val="18"/>
                <w:szCs w:val="18"/>
              </w:rPr>
              <w:t>第</w:t>
            </w:r>
            <w:r>
              <w:rPr>
                <w:rFonts w:ascii="宋体" w:hAnsi="宋体" w:eastAsia="宋体" w:cs="宋体"/>
                <w:color w:val="000000"/>
                <w:sz w:val="18"/>
                <w:szCs w:val="18"/>
              </w:rPr>
              <w:t>一款。</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⑥《生产安全事故应急预案管理办法》第</w:t>
            </w:r>
            <w:r>
              <w:rPr>
                <w:rFonts w:ascii="宋体" w:hAnsi="宋体" w:eastAsia="宋体" w:cs="宋体"/>
                <w:color w:val="000000"/>
                <w:sz w:val="18"/>
                <w:szCs w:val="18"/>
              </w:rPr>
              <w:t>二十</w:t>
            </w:r>
            <w:r>
              <w:rPr>
                <w:rFonts w:hint="eastAsia" w:ascii="宋体" w:hAnsi="宋体" w:eastAsia="宋体" w:cs="宋体"/>
                <w:color w:val="000000"/>
                <w:sz w:val="18"/>
                <w:szCs w:val="18"/>
              </w:rPr>
              <w:t>四</w:t>
            </w:r>
            <w:r>
              <w:rPr>
                <w:rFonts w:ascii="宋体" w:hAnsi="宋体" w:eastAsia="宋体" w:cs="宋体"/>
                <w:color w:val="000000"/>
                <w:sz w:val="18"/>
                <w:szCs w:val="18"/>
              </w:rPr>
              <w:t>条</w:t>
            </w:r>
            <w:r>
              <w:rPr>
                <w:rFonts w:hint="eastAsia" w:ascii="宋体" w:hAnsi="宋体" w:eastAsia="宋体" w:cs="宋体"/>
                <w:color w:val="000000"/>
                <w:sz w:val="18"/>
                <w:szCs w:val="18"/>
              </w:rPr>
              <w:t>第二</w:t>
            </w:r>
            <w:r>
              <w:rPr>
                <w:rFonts w:ascii="宋体" w:hAnsi="宋体" w:eastAsia="宋体" w:cs="宋体"/>
                <w:color w:val="000000"/>
                <w:sz w:val="18"/>
                <w:szCs w:val="18"/>
              </w:rPr>
              <w:t>款</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《生产安全事故应急预案管理办法》第三十五</w:t>
            </w:r>
            <w:r>
              <w:rPr>
                <w:rFonts w:ascii="宋体" w:hAnsi="宋体" w:eastAsia="宋体" w:cs="宋体"/>
                <w:color w:val="000000"/>
                <w:sz w:val="18"/>
                <w:szCs w:val="18"/>
              </w:rPr>
              <w:t>条</w:t>
            </w:r>
            <w:r>
              <w:rPr>
                <w:rFonts w:hint="eastAsia" w:ascii="宋体" w:hAnsi="宋体" w:eastAsia="宋体" w:cs="宋体"/>
                <w:color w:val="000000"/>
                <w:sz w:val="18"/>
                <w:szCs w:val="18"/>
              </w:rPr>
              <w:t>第二</w:t>
            </w:r>
            <w:r>
              <w:rPr>
                <w:rFonts w:ascii="宋体" w:hAnsi="宋体" w:eastAsia="宋体" w:cs="宋体"/>
                <w:color w:val="000000"/>
                <w:sz w:val="18"/>
                <w:szCs w:val="18"/>
              </w:rPr>
              <w:t>款</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8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⑧</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《生产安全事故应急预案管理办法》第三十六</w:t>
            </w:r>
            <w:r>
              <w:rPr>
                <w:rFonts w:ascii="宋体" w:hAnsi="宋体" w:eastAsia="宋体" w:cs="宋体"/>
                <w:color w:val="000000"/>
                <w:sz w:val="18"/>
                <w:szCs w:val="18"/>
              </w:rPr>
              <w:t>条</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9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⑨</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《生产安全事故应急预案管理办法》第三十八</w:t>
            </w:r>
            <w:r>
              <w:rPr>
                <w:rFonts w:ascii="宋体" w:hAnsi="宋体" w:eastAsia="宋体" w:cs="宋体"/>
                <w:color w:val="000000"/>
                <w:sz w:val="18"/>
                <w:szCs w:val="18"/>
              </w:rPr>
              <w:t>条</w:t>
            </w:r>
            <w:r>
              <w:rPr>
                <w:rFonts w:hint="eastAsia" w:ascii="宋体" w:hAnsi="宋体" w:eastAsia="宋体" w:cs="宋体"/>
                <w:color w:val="000000"/>
                <w:sz w:val="18"/>
                <w:szCs w:val="18"/>
              </w:rPr>
              <w:t>。</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《安全生产法》第九十四条第（六）项。</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《安全生产法》第九十四条第（六）项。</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《生产安全事故应急条例》第三十二条。</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4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④</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9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⑨</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《生产安全事故应急预案管理办法》第四十五条。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8</w:t>
            </w:r>
          </w:p>
        </w:tc>
        <w:tc>
          <w:tcPr>
            <w:tcW w:w="4432"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①承包单位取得安全生产许可证和具备相应资质情况；</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②承包单位向作业地安全监管部门书面报告本单位取得有关许可和施工资质，以及所承包工程情况；</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③安全生产管理协议签订情况；</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④地下矿山正常生产期间，是否存在将主通风、主提升、供排水、供配电、主供风系统及其设备设施的运行管理进行分项发包问题；</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⑤对承包单位实施安全生产监督检查或者考核情况；</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⑥是否将承包单位及其项目部纳入本单位的安全管理体系，实行统一管理；</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ascii="宋体" w:hAnsi="宋体" w:eastAsia="宋体" w:cs="宋体"/>
                <w:color w:val="000000"/>
                <w:sz w:val="18"/>
                <w:szCs w:val="18"/>
              </w:rPr>
              <w:t>向承包单位进行外包工程技术交底，或者按照合同约定向承包单位提供有关资料</w:t>
            </w:r>
            <w:r>
              <w:rPr>
                <w:rFonts w:hint="eastAsia" w:ascii="宋体" w:hAnsi="宋体" w:eastAsia="宋体" w:cs="宋体"/>
                <w:color w:val="000000"/>
                <w:sz w:val="18"/>
                <w:szCs w:val="18"/>
              </w:rPr>
              <w:t>情况</w:t>
            </w:r>
            <w:r>
              <w:rPr>
                <w:rFonts w:ascii="宋体" w:hAnsi="宋体" w:eastAsia="宋体" w:cs="宋体"/>
                <w:color w:val="000000"/>
                <w:sz w:val="18"/>
                <w:szCs w:val="18"/>
              </w:rPr>
              <w:t>；</w:t>
            </w:r>
            <w:r>
              <w:rPr>
                <w:rFonts w:hint="eastAsia" w:ascii="宋体" w:hAnsi="宋体" w:eastAsia="宋体" w:cs="宋体"/>
                <w:color w:val="000000"/>
                <w:sz w:val="18"/>
                <w:szCs w:val="18"/>
              </w:rPr>
              <w:t xml:space="preserve"> </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8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⑧</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是否存在</w:t>
            </w:r>
            <w:r>
              <w:rPr>
                <w:rFonts w:ascii="宋体" w:hAnsi="宋体" w:eastAsia="宋体" w:cs="宋体"/>
                <w:color w:val="000000"/>
                <w:sz w:val="18"/>
                <w:szCs w:val="18"/>
              </w:rPr>
              <w:t>承包单位负责人兼职其他工程项目负责人</w:t>
            </w:r>
            <w:r>
              <w:rPr>
                <w:rFonts w:hint="eastAsia" w:ascii="宋体" w:hAnsi="宋体" w:eastAsia="宋体" w:cs="宋体"/>
                <w:color w:val="000000"/>
                <w:sz w:val="18"/>
                <w:szCs w:val="18"/>
              </w:rPr>
              <w:t>问题</w:t>
            </w:r>
            <w:r>
              <w:rPr>
                <w:rFonts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9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⑨</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承包单位对项目部人员进行安全生产教育培训、考核、安全生产检查情况。</w:t>
            </w:r>
          </w:p>
          <w:p>
            <w:pPr>
              <w:pStyle w:val="86"/>
              <w:spacing w:line="240" w:lineRule="exact"/>
              <w:ind w:firstLine="0" w:firstLineChars="0"/>
              <w:jc w:val="left"/>
              <w:rPr>
                <w:rFonts w:ascii="宋体" w:hAnsi="宋体" w:eastAsia="宋体" w:cs="宋体"/>
                <w:color w:val="000000"/>
                <w:sz w:val="18"/>
                <w:szCs w:val="18"/>
              </w:rPr>
            </w:pPr>
            <w:r>
              <w:rPr>
                <w:rFonts w:hint="eastAsia" w:ascii="宋体" w:hAnsi="宋体" w:cs="宋体"/>
                <w:color w:val="000000"/>
                <w:sz w:val="18"/>
                <w:szCs w:val="18"/>
              </w:rPr>
              <w:t>（</w:t>
            </w:r>
            <w:r>
              <w:rPr>
                <w:rFonts w:hint="eastAsia" w:ascii="宋体" w:hAnsi="宋体" w:eastAsia="宋体" w:cs="宋体"/>
                <w:color w:val="000000"/>
                <w:sz w:val="18"/>
                <w:szCs w:val="18"/>
              </w:rPr>
              <w:t xml:space="preserve">①-② </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8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⑧</w:t>
            </w:r>
            <w:r>
              <w:rPr>
                <w:rFonts w:ascii="宋体" w:hAnsi="宋体" w:eastAsia="宋体" w:cs="宋体"/>
                <w:color w:val="000000"/>
                <w:sz w:val="18"/>
                <w:szCs w:val="18"/>
              </w:rPr>
              <w:fldChar w:fldCharType="end"/>
            </w:r>
            <w:r>
              <w:rPr>
                <w:rFonts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9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⑨</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违法</w:t>
            </w:r>
            <w:r>
              <w:rPr>
                <w:rFonts w:ascii="宋体" w:hAnsi="宋体" w:eastAsia="宋体" w:cs="宋体"/>
                <w:color w:val="000000"/>
                <w:sz w:val="18"/>
                <w:szCs w:val="18"/>
              </w:rPr>
              <w:t>主体是承包单位</w:t>
            </w:r>
            <w:r>
              <w:rPr>
                <w:rFonts w:hint="eastAsia" w:ascii="宋体" w:hAnsi="宋体" w:eastAsia="宋体" w:cs="宋体"/>
                <w:color w:val="000000"/>
                <w:sz w:val="18"/>
                <w:szCs w:val="18"/>
              </w:rPr>
              <w:t>）</w:t>
            </w:r>
          </w:p>
        </w:tc>
        <w:tc>
          <w:tcPr>
            <w:tcW w:w="2566" w:type="dxa"/>
            <w:vAlign w:val="center"/>
          </w:tcPr>
          <w:p>
            <w:pPr>
              <w:pStyle w:val="86"/>
              <w:spacing w:line="240" w:lineRule="exact"/>
              <w:ind w:firstLine="0" w:firstLineChars="0"/>
              <w:rPr>
                <w:rFonts w:ascii="宋体" w:hAnsi="宋体" w:eastAsia="宋体" w:cs="宋体"/>
                <w:color w:val="000000"/>
                <w:sz w:val="18"/>
                <w:szCs w:val="18"/>
              </w:rPr>
            </w:pPr>
            <w:r>
              <w:rPr>
                <w:rFonts w:hint="eastAsia" w:ascii="宋体" w:hAnsi="宋体" w:eastAsia="宋体" w:cs="宋体"/>
                <w:color w:val="000000"/>
                <w:sz w:val="18"/>
                <w:szCs w:val="18"/>
              </w:rPr>
              <w:t>查</w:t>
            </w:r>
            <w:r>
              <w:rPr>
                <w:rFonts w:ascii="宋体" w:hAnsi="宋体" w:eastAsia="宋体" w:cs="宋体"/>
                <w:color w:val="000000"/>
                <w:sz w:val="18"/>
                <w:szCs w:val="18"/>
              </w:rPr>
              <w:t>承包</w:t>
            </w:r>
            <w:r>
              <w:rPr>
                <w:rFonts w:hint="eastAsia" w:ascii="宋体" w:hAnsi="宋体" w:eastAsia="宋体" w:cs="宋体"/>
                <w:color w:val="000000"/>
                <w:sz w:val="18"/>
                <w:szCs w:val="18"/>
              </w:rPr>
              <w:t>单位资质</w:t>
            </w:r>
            <w:r>
              <w:rPr>
                <w:rFonts w:ascii="宋体" w:hAnsi="宋体" w:eastAsia="宋体" w:cs="宋体"/>
                <w:color w:val="000000"/>
                <w:sz w:val="18"/>
                <w:szCs w:val="18"/>
              </w:rPr>
              <w:t>情况、书面报告回执、</w:t>
            </w:r>
            <w:r>
              <w:rPr>
                <w:rFonts w:hint="eastAsia" w:ascii="宋体" w:hAnsi="宋体" w:eastAsia="宋体" w:cs="宋体"/>
                <w:color w:val="000000"/>
                <w:sz w:val="18"/>
                <w:szCs w:val="18"/>
              </w:rPr>
              <w:t>安全</w:t>
            </w:r>
            <w:r>
              <w:rPr>
                <w:rFonts w:ascii="宋体" w:hAnsi="宋体" w:eastAsia="宋体" w:cs="宋体"/>
                <w:color w:val="000000"/>
                <w:sz w:val="18"/>
                <w:szCs w:val="18"/>
              </w:rPr>
              <w:t>生产管理协议、</w:t>
            </w:r>
            <w:r>
              <w:rPr>
                <w:rFonts w:hint="eastAsia" w:ascii="宋体" w:hAnsi="宋体" w:eastAsia="宋体" w:cs="宋体"/>
                <w:color w:val="000000"/>
                <w:sz w:val="18"/>
                <w:szCs w:val="18"/>
              </w:rPr>
              <w:t>对承包</w:t>
            </w:r>
            <w:r>
              <w:rPr>
                <w:rFonts w:ascii="宋体" w:hAnsi="宋体" w:eastAsia="宋体" w:cs="宋体"/>
                <w:color w:val="000000"/>
                <w:sz w:val="18"/>
                <w:szCs w:val="18"/>
              </w:rPr>
              <w:t>单位监督检查和考核材料、</w:t>
            </w:r>
            <w:r>
              <w:rPr>
                <w:rFonts w:hint="eastAsia" w:ascii="宋体" w:hAnsi="宋体" w:eastAsia="宋体" w:cs="宋体"/>
                <w:color w:val="000000"/>
                <w:sz w:val="18"/>
                <w:szCs w:val="18"/>
              </w:rPr>
              <w:t>工程技术交底有关</w:t>
            </w:r>
            <w:r>
              <w:rPr>
                <w:rFonts w:ascii="宋体" w:hAnsi="宋体" w:eastAsia="宋体" w:cs="宋体"/>
                <w:color w:val="000000"/>
                <w:sz w:val="18"/>
                <w:szCs w:val="18"/>
              </w:rPr>
              <w:t>材料</w:t>
            </w:r>
            <w:r>
              <w:rPr>
                <w:rFonts w:hint="eastAsia" w:ascii="宋体" w:hAnsi="宋体" w:eastAsia="宋体" w:cs="宋体"/>
                <w:color w:val="000000"/>
                <w:sz w:val="18"/>
                <w:szCs w:val="18"/>
              </w:rPr>
              <w:t>；对比查验合同内容及现场抽查询问；查</w:t>
            </w:r>
            <w:r>
              <w:rPr>
                <w:rFonts w:ascii="宋体" w:hAnsi="宋体" w:eastAsia="宋体" w:cs="宋体"/>
                <w:color w:val="000000"/>
                <w:sz w:val="18"/>
                <w:szCs w:val="18"/>
              </w:rPr>
              <w:t>承包单位对</w:t>
            </w:r>
            <w:r>
              <w:rPr>
                <w:rFonts w:hint="eastAsia" w:ascii="宋体" w:hAnsi="宋体" w:eastAsia="宋体" w:cs="宋体"/>
                <w:color w:val="000000"/>
                <w:sz w:val="18"/>
                <w:szCs w:val="18"/>
              </w:rPr>
              <w:t>项目部进行</w:t>
            </w:r>
            <w:r>
              <w:rPr>
                <w:rFonts w:ascii="宋体" w:hAnsi="宋体" w:eastAsia="宋体" w:cs="宋体"/>
                <w:color w:val="000000"/>
                <w:sz w:val="18"/>
                <w:szCs w:val="18"/>
              </w:rPr>
              <w:t>教育培训</w:t>
            </w:r>
            <w:r>
              <w:rPr>
                <w:rFonts w:hint="eastAsia" w:ascii="宋体" w:hAnsi="宋体" w:eastAsia="宋体" w:cs="宋体"/>
                <w:color w:val="000000"/>
                <w:sz w:val="18"/>
                <w:szCs w:val="18"/>
              </w:rPr>
              <w:t>、</w:t>
            </w:r>
            <w:r>
              <w:rPr>
                <w:rFonts w:ascii="宋体" w:hAnsi="宋体" w:eastAsia="宋体" w:cs="宋体"/>
                <w:color w:val="000000"/>
                <w:sz w:val="18"/>
                <w:szCs w:val="18"/>
              </w:rPr>
              <w:t>考核</w:t>
            </w:r>
            <w:r>
              <w:rPr>
                <w:rFonts w:hint="eastAsia" w:ascii="宋体" w:hAnsi="宋体" w:eastAsia="宋体" w:cs="宋体"/>
                <w:color w:val="000000"/>
                <w:sz w:val="18"/>
                <w:szCs w:val="18"/>
              </w:rPr>
              <w:t>和安全</w:t>
            </w:r>
            <w:r>
              <w:rPr>
                <w:rFonts w:ascii="宋体" w:hAnsi="宋体" w:eastAsia="宋体" w:cs="宋体"/>
                <w:color w:val="000000"/>
                <w:sz w:val="18"/>
                <w:szCs w:val="18"/>
              </w:rPr>
              <w:t>生产检查记录、文件</w:t>
            </w:r>
            <w:r>
              <w:rPr>
                <w:rFonts w:hint="eastAsia" w:ascii="宋体" w:hAnsi="宋体" w:eastAsia="宋体" w:cs="宋体"/>
                <w:color w:val="000000"/>
                <w:sz w:val="18"/>
                <w:szCs w:val="18"/>
              </w:rPr>
              <w:t>、</w:t>
            </w:r>
            <w:r>
              <w:rPr>
                <w:rFonts w:ascii="宋体" w:hAnsi="宋体" w:eastAsia="宋体" w:cs="宋体"/>
                <w:color w:val="000000"/>
                <w:sz w:val="18"/>
                <w:szCs w:val="18"/>
              </w:rPr>
              <w:t>台账等。</w:t>
            </w:r>
          </w:p>
        </w:tc>
        <w:tc>
          <w:tcPr>
            <w:tcW w:w="2617"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①《安全生产法》第四十六条第一款</w:t>
            </w:r>
            <w:r>
              <w:rPr>
                <w:rFonts w:hint="eastAsia" w:ascii="宋体" w:hAnsi="宋体" w:cs="宋体"/>
                <w:color w:val="000000"/>
                <w:sz w:val="18"/>
                <w:szCs w:val="18"/>
              </w:rPr>
              <w:t>.</w:t>
            </w:r>
            <w:r>
              <w:rPr>
                <w:rFonts w:hint="eastAsia" w:ascii="宋体" w:hAnsi="宋体" w:eastAsia="宋体" w:cs="宋体"/>
                <w:color w:val="000000"/>
                <w:sz w:val="18"/>
                <w:szCs w:val="18"/>
              </w:rPr>
              <w:t>②《非</w:t>
            </w:r>
            <w:r>
              <w:rPr>
                <w:rFonts w:ascii="宋体" w:hAnsi="宋体" w:eastAsia="宋体" w:cs="宋体"/>
                <w:color w:val="000000"/>
                <w:sz w:val="18"/>
                <w:szCs w:val="18"/>
              </w:rPr>
              <w:t>煤</w:t>
            </w:r>
            <w:r>
              <w:rPr>
                <w:rFonts w:hint="eastAsia" w:ascii="宋体" w:hAnsi="宋体" w:eastAsia="宋体" w:cs="宋体"/>
                <w:color w:val="000000"/>
                <w:sz w:val="18"/>
                <w:szCs w:val="18"/>
              </w:rPr>
              <w:t>矿山外包工程安全管理暂行办法》</w:t>
            </w:r>
            <w:r>
              <w:rPr>
                <w:rFonts w:ascii="宋体" w:hAnsi="宋体" w:eastAsia="宋体" w:cs="宋体"/>
                <w:color w:val="000000"/>
                <w:sz w:val="18"/>
                <w:szCs w:val="18"/>
              </w:rPr>
              <w:t>第二十七条</w:t>
            </w:r>
            <w:r>
              <w:rPr>
                <w:rFonts w:hint="eastAsia" w:ascii="宋体" w:hAnsi="宋体" w:eastAsia="宋体"/>
                <w:color w:val="000000"/>
                <w:sz w:val="18"/>
                <w:szCs w:val="18"/>
              </w:rPr>
              <w:t>。</w:t>
            </w:r>
            <w:r>
              <w:rPr>
                <w:rFonts w:hint="eastAsia" w:ascii="宋体" w:hAnsi="宋体" w:eastAsia="宋体" w:cs="宋体"/>
                <w:color w:val="000000"/>
                <w:sz w:val="18"/>
                <w:szCs w:val="18"/>
              </w:rPr>
              <w:t>③《非煤矿山外包工程安全管理暂行办法》</w:t>
            </w:r>
            <w:r>
              <w:rPr>
                <w:rFonts w:ascii="宋体" w:hAnsi="宋体" w:eastAsia="宋体" w:cs="宋体"/>
                <w:color w:val="000000"/>
                <w:sz w:val="18"/>
                <w:szCs w:val="18"/>
              </w:rPr>
              <w:t>第八条</w:t>
            </w:r>
            <w:r>
              <w:rPr>
                <w:rFonts w:hint="eastAsia" w:ascii="宋体" w:hAnsi="宋体" w:eastAsia="宋体" w:cs="宋体"/>
                <w:color w:val="000000"/>
                <w:sz w:val="18"/>
                <w:szCs w:val="18"/>
              </w:rPr>
              <w:t>第一款</w:t>
            </w:r>
            <w:r>
              <w:rPr>
                <w:rFonts w:hint="eastAsia" w:ascii="宋体" w:hAnsi="宋体" w:cs="宋体"/>
                <w:color w:val="000000"/>
                <w:sz w:val="18"/>
                <w:szCs w:val="18"/>
              </w:rPr>
              <w:t>。</w:t>
            </w:r>
            <w:r>
              <w:rPr>
                <w:rFonts w:hint="eastAsia" w:ascii="宋体" w:hAnsi="宋体" w:eastAsia="宋体" w:cs="宋体"/>
                <w:color w:val="000000"/>
                <w:sz w:val="18"/>
                <w:szCs w:val="18"/>
              </w:rPr>
              <w:t>④《非煤矿山外包工程安全管理暂行办法》</w:t>
            </w:r>
            <w:r>
              <w:rPr>
                <w:rFonts w:ascii="宋体" w:hAnsi="宋体" w:eastAsia="宋体" w:cs="宋体"/>
                <w:color w:val="000000"/>
                <w:sz w:val="18"/>
                <w:szCs w:val="18"/>
              </w:rPr>
              <w:t>第十二条</w:t>
            </w:r>
            <w:r>
              <w:rPr>
                <w:rFonts w:hint="eastAsia" w:ascii="宋体" w:hAnsi="宋体" w:eastAsia="宋体" w:cs="宋体"/>
                <w:color w:val="000000"/>
                <w:sz w:val="18"/>
                <w:szCs w:val="18"/>
              </w:rPr>
              <w:t>第二款。⑤《非煤矿山外包工程安全管理暂行办法》</w:t>
            </w:r>
            <w:r>
              <w:rPr>
                <w:rFonts w:ascii="宋体" w:hAnsi="宋体" w:eastAsia="宋体" w:cs="宋体"/>
                <w:color w:val="000000"/>
                <w:sz w:val="18"/>
                <w:szCs w:val="18"/>
              </w:rPr>
              <w:t>第十四条</w:t>
            </w:r>
            <w:r>
              <w:rPr>
                <w:rFonts w:hint="eastAsia" w:ascii="宋体" w:hAnsi="宋体" w:eastAsia="宋体" w:cs="宋体"/>
                <w:color w:val="000000"/>
                <w:sz w:val="18"/>
                <w:szCs w:val="18"/>
              </w:rPr>
              <w:t>。⑥《非煤矿山外包工程安全管理暂行办法》</w:t>
            </w:r>
            <w:r>
              <w:rPr>
                <w:rFonts w:ascii="宋体" w:hAnsi="宋体" w:eastAsia="宋体" w:cs="宋体"/>
                <w:color w:val="000000"/>
                <w:sz w:val="18"/>
                <w:szCs w:val="18"/>
              </w:rPr>
              <w:t>第十</w:t>
            </w:r>
            <w:r>
              <w:rPr>
                <w:rFonts w:hint="eastAsia" w:ascii="宋体" w:hAnsi="宋体" w:eastAsia="宋体" w:cs="宋体"/>
                <w:color w:val="000000"/>
                <w:sz w:val="18"/>
                <w:szCs w:val="18"/>
              </w:rPr>
              <w:t>一</w:t>
            </w:r>
            <w:r>
              <w:rPr>
                <w:rFonts w:ascii="宋体" w:hAnsi="宋体" w:eastAsia="宋体" w:cs="宋体"/>
                <w:color w:val="000000"/>
                <w:sz w:val="18"/>
                <w:szCs w:val="18"/>
              </w:rPr>
              <w:t>条</w:t>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《非煤矿山外包工程安全管理暂行办法》</w:t>
            </w:r>
            <w:r>
              <w:rPr>
                <w:rFonts w:ascii="宋体" w:hAnsi="宋体" w:eastAsia="宋体" w:cs="宋体"/>
                <w:color w:val="000000"/>
                <w:sz w:val="18"/>
                <w:szCs w:val="18"/>
              </w:rPr>
              <w:t>第十</w:t>
            </w:r>
            <w:r>
              <w:rPr>
                <w:rFonts w:hint="eastAsia" w:ascii="宋体" w:hAnsi="宋体" w:eastAsia="宋体" w:cs="宋体"/>
                <w:color w:val="000000"/>
                <w:sz w:val="18"/>
                <w:szCs w:val="18"/>
              </w:rPr>
              <w:t>三</w:t>
            </w:r>
            <w:r>
              <w:rPr>
                <w:rFonts w:ascii="宋体" w:hAnsi="宋体" w:eastAsia="宋体" w:cs="宋体"/>
                <w:color w:val="000000"/>
                <w:sz w:val="18"/>
                <w:szCs w:val="18"/>
              </w:rPr>
              <w:t>条</w:t>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8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⑧</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《非煤矿山外包工程安全管理暂行办法》第二十一条第三款。</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9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⑨</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《非煤矿山外包工程安全管理暂行办法》第二十条第一款。</w:t>
            </w:r>
          </w:p>
        </w:tc>
        <w:tc>
          <w:tcPr>
            <w:tcW w:w="2627"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《安全生产法》第一百条第一款。</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《非煤矿山外包工程安全管理暂行办法》</w:t>
            </w:r>
            <w:r>
              <w:rPr>
                <w:rFonts w:hint="eastAsia" w:ascii="宋体" w:hAnsi="宋体" w:eastAsia="宋体"/>
                <w:color w:val="000000"/>
                <w:sz w:val="18"/>
                <w:szCs w:val="18"/>
              </w:rPr>
              <w:t>第三十九条。</w:t>
            </w:r>
            <w:r>
              <w:rPr>
                <w:rFonts w:ascii="宋体" w:hAnsi="宋体" w:eastAsia="宋体"/>
                <w:color w:val="000000"/>
                <w:sz w:val="18"/>
                <w:szCs w:val="18"/>
              </w:rPr>
              <w:fldChar w:fldCharType="begin"/>
            </w:r>
            <w:r>
              <w:rPr>
                <w:rFonts w:ascii="宋体" w:hAnsi="宋体" w:eastAsia="宋体"/>
                <w:color w:val="000000"/>
                <w:sz w:val="18"/>
                <w:szCs w:val="18"/>
              </w:rPr>
              <w:instrText xml:space="preserve"> </w:instrText>
            </w:r>
            <w:r>
              <w:rPr>
                <w:rFonts w:hint="eastAsia" w:ascii="宋体" w:hAnsi="宋体" w:eastAsia="宋体"/>
                <w:color w:val="000000"/>
                <w:sz w:val="18"/>
                <w:szCs w:val="18"/>
              </w:rPr>
              <w:instrText xml:space="preserve">= 3 \* GB3</w:instrText>
            </w:r>
            <w:r>
              <w:rPr>
                <w:rFonts w:ascii="宋体" w:hAnsi="宋体" w:eastAsia="宋体"/>
                <w:color w:val="000000"/>
                <w:sz w:val="18"/>
                <w:szCs w:val="18"/>
              </w:rPr>
              <w:instrText xml:space="preserve"> </w:instrText>
            </w:r>
            <w:r>
              <w:rPr>
                <w:rFonts w:ascii="宋体" w:hAnsi="宋体" w:eastAsia="宋体"/>
                <w:color w:val="000000"/>
                <w:sz w:val="18"/>
                <w:szCs w:val="18"/>
              </w:rPr>
              <w:fldChar w:fldCharType="separate"/>
            </w:r>
            <w:r>
              <w:rPr>
                <w:rFonts w:hint="eastAsia" w:ascii="宋体" w:hAnsi="宋体" w:eastAsia="宋体"/>
                <w:color w:val="000000"/>
                <w:sz w:val="18"/>
                <w:szCs w:val="18"/>
              </w:rPr>
              <w:t>③</w:t>
            </w:r>
            <w:r>
              <w:rPr>
                <w:rFonts w:ascii="宋体" w:hAnsi="宋体" w:eastAsia="宋体"/>
                <w:color w:val="000000"/>
                <w:sz w:val="18"/>
                <w:szCs w:val="18"/>
              </w:rPr>
              <w:fldChar w:fldCharType="end"/>
            </w:r>
            <w:r>
              <w:rPr>
                <w:rFonts w:hint="eastAsia" w:ascii="宋体" w:hAnsi="宋体" w:eastAsia="宋体" w:cs="宋体"/>
                <w:color w:val="000000"/>
                <w:sz w:val="18"/>
                <w:szCs w:val="18"/>
              </w:rPr>
              <w:t>《非煤矿山外包工程安全管理暂行办法》第</w:t>
            </w:r>
            <w:r>
              <w:rPr>
                <w:rFonts w:ascii="宋体" w:hAnsi="宋体" w:eastAsia="宋体" w:cs="宋体"/>
                <w:color w:val="000000"/>
                <w:sz w:val="18"/>
                <w:szCs w:val="18"/>
              </w:rPr>
              <w:t>三十三条</w:t>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4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④</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《非煤矿山外包工程安全管理暂行办法》第三十五条。</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《非煤矿山外包工程安全管理暂行办法》第三十四条第</w:t>
            </w:r>
            <w:r>
              <w:rPr>
                <w:rFonts w:ascii="宋体" w:hAnsi="宋体" w:eastAsia="宋体" w:cs="宋体"/>
                <w:color w:val="000000"/>
                <w:sz w:val="18"/>
                <w:szCs w:val="18"/>
              </w:rPr>
              <w:t>（</w:t>
            </w:r>
            <w:r>
              <w:rPr>
                <w:rFonts w:hint="eastAsia" w:ascii="宋体" w:hAnsi="宋体" w:eastAsia="宋体" w:cs="宋体"/>
                <w:color w:val="000000"/>
                <w:sz w:val="18"/>
                <w:szCs w:val="18"/>
              </w:rPr>
              <w:t>一</w:t>
            </w:r>
            <w:r>
              <w:rPr>
                <w:rFonts w:ascii="宋体" w:hAnsi="宋体" w:eastAsia="宋体" w:cs="宋体"/>
                <w:color w:val="000000"/>
                <w:sz w:val="18"/>
                <w:szCs w:val="18"/>
              </w:rPr>
              <w:t>）</w:t>
            </w:r>
            <w:r>
              <w:rPr>
                <w:rFonts w:hint="eastAsia" w:ascii="宋体" w:hAnsi="宋体" w:eastAsia="宋体" w:cs="宋体"/>
                <w:color w:val="000000"/>
                <w:sz w:val="18"/>
                <w:szCs w:val="18"/>
              </w:rPr>
              <w:t>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6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⑥</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《非煤矿山外包工程安全管理暂行办法》第三十四条第</w:t>
            </w:r>
            <w:r>
              <w:rPr>
                <w:rFonts w:ascii="宋体" w:hAnsi="宋体" w:eastAsia="宋体" w:cs="宋体"/>
                <w:color w:val="000000"/>
                <w:sz w:val="18"/>
                <w:szCs w:val="18"/>
              </w:rPr>
              <w:t>（</w:t>
            </w:r>
            <w:r>
              <w:rPr>
                <w:rFonts w:hint="eastAsia" w:ascii="宋体" w:hAnsi="宋体" w:eastAsia="宋体" w:cs="宋体"/>
                <w:color w:val="000000"/>
                <w:sz w:val="18"/>
                <w:szCs w:val="18"/>
              </w:rPr>
              <w:t>二</w:t>
            </w:r>
            <w:r>
              <w:rPr>
                <w:rFonts w:ascii="宋体" w:hAnsi="宋体" w:eastAsia="宋体" w:cs="宋体"/>
                <w:color w:val="000000"/>
                <w:sz w:val="18"/>
                <w:szCs w:val="18"/>
              </w:rPr>
              <w:t>）</w:t>
            </w:r>
            <w:r>
              <w:rPr>
                <w:rFonts w:hint="eastAsia" w:ascii="宋体" w:hAnsi="宋体" w:eastAsia="宋体" w:cs="宋体"/>
                <w:color w:val="000000"/>
                <w:sz w:val="18"/>
                <w:szCs w:val="18"/>
              </w:rPr>
              <w:t>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《非煤矿山外包工程安全管理暂行办法》第三十四条第</w:t>
            </w:r>
            <w:r>
              <w:rPr>
                <w:rFonts w:ascii="宋体" w:hAnsi="宋体" w:eastAsia="宋体" w:cs="宋体"/>
                <w:color w:val="000000"/>
                <w:sz w:val="18"/>
                <w:szCs w:val="18"/>
              </w:rPr>
              <w:t>（</w:t>
            </w:r>
            <w:r>
              <w:rPr>
                <w:rFonts w:hint="eastAsia" w:ascii="宋体" w:hAnsi="宋体" w:eastAsia="宋体" w:cs="宋体"/>
                <w:color w:val="000000"/>
                <w:sz w:val="18"/>
                <w:szCs w:val="18"/>
              </w:rPr>
              <w:t>三</w:t>
            </w:r>
            <w:r>
              <w:rPr>
                <w:rFonts w:ascii="宋体" w:hAnsi="宋体" w:eastAsia="宋体" w:cs="宋体"/>
                <w:color w:val="000000"/>
                <w:sz w:val="18"/>
                <w:szCs w:val="18"/>
              </w:rPr>
              <w:t>）</w:t>
            </w:r>
            <w:r>
              <w:rPr>
                <w:rFonts w:hint="eastAsia" w:ascii="宋体" w:hAnsi="宋体" w:eastAsia="宋体" w:cs="宋体"/>
                <w:color w:val="000000"/>
                <w:sz w:val="18"/>
                <w:szCs w:val="18"/>
              </w:rPr>
              <w:t>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8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⑧</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《非煤矿山外包工程安全管理暂行办法》第三十六条。</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9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⑨</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《非煤矿山外包工程安全管理暂行办法》第三十八条第一款。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9</w:t>
            </w:r>
          </w:p>
        </w:tc>
        <w:tc>
          <w:tcPr>
            <w:tcW w:w="4432"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①高危生产经营单位执行单位负责人现场带班制度情况；</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②领导带班下井制度建立健全情况，领导带班下井考核奖惩办法制定情况，领导带班下井月度计划制定情况；</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③领导带班下井月度计划公告；</w:t>
            </w:r>
          </w:p>
          <w:p>
            <w:pPr>
              <w:pStyle w:val="86"/>
              <w:spacing w:line="240" w:lineRule="exact"/>
              <w:ind w:firstLine="0" w:firstLineChars="0"/>
              <w:jc w:val="left"/>
              <w:rPr>
                <w:rFonts w:ascii="宋体" w:hAnsi="宋体" w:eastAsia="宋体" w:cs="宋体"/>
                <w:color w:val="000000"/>
                <w:sz w:val="18"/>
                <w:szCs w:val="18"/>
              </w:rPr>
            </w:pPr>
            <w:r>
              <w:rPr>
                <w:rFonts w:hint="eastAsia" w:ascii="宋体" w:hAnsi="宋体" w:eastAsia="宋体" w:cs="宋体"/>
                <w:color w:val="000000"/>
                <w:sz w:val="18"/>
                <w:szCs w:val="18"/>
              </w:rPr>
              <w:t>④</w:t>
            </w:r>
            <w:r>
              <w:rPr>
                <w:rFonts w:hint="eastAsia" w:ascii="宋体" w:hAnsi="宋体" w:cs="宋体"/>
                <w:color w:val="000000"/>
                <w:sz w:val="18"/>
                <w:szCs w:val="18"/>
              </w:rPr>
              <w:t>领</w:t>
            </w:r>
            <w:r>
              <w:rPr>
                <w:rFonts w:hint="eastAsia" w:ascii="宋体" w:hAnsi="宋体" w:eastAsia="宋体" w:cs="宋体"/>
                <w:color w:val="000000"/>
                <w:sz w:val="18"/>
                <w:szCs w:val="18"/>
              </w:rPr>
              <w:t>导带班下井月度计划完成情况公示；</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⑤带班下井交接班记录、带班下井登记档案填写情况。</w:t>
            </w:r>
          </w:p>
        </w:tc>
        <w:tc>
          <w:tcPr>
            <w:tcW w:w="2566"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查单位负责人现场带班制度、单位负责人带班考勤档案；查</w:t>
            </w:r>
            <w:r>
              <w:rPr>
                <w:rFonts w:ascii="宋体" w:hAnsi="宋体" w:eastAsia="宋体" w:cs="宋体"/>
                <w:color w:val="000000"/>
                <w:sz w:val="18"/>
                <w:szCs w:val="18"/>
              </w:rPr>
              <w:t>地下矿山领导带班下井制度、</w:t>
            </w:r>
            <w:r>
              <w:rPr>
                <w:rFonts w:hint="eastAsia" w:ascii="宋体" w:hAnsi="宋体" w:eastAsia="宋体" w:cs="宋体"/>
                <w:color w:val="000000"/>
                <w:sz w:val="18"/>
                <w:szCs w:val="18"/>
              </w:rPr>
              <w:t>考核</w:t>
            </w:r>
            <w:r>
              <w:rPr>
                <w:rFonts w:ascii="宋体" w:hAnsi="宋体" w:eastAsia="宋体" w:cs="宋体"/>
                <w:color w:val="000000"/>
                <w:sz w:val="18"/>
                <w:szCs w:val="18"/>
              </w:rPr>
              <w:t>奖惩办法、下井月度计划，</w:t>
            </w:r>
            <w:r>
              <w:rPr>
                <w:rFonts w:hint="eastAsia" w:ascii="宋体" w:hAnsi="宋体" w:eastAsia="宋体" w:cs="宋体"/>
                <w:color w:val="000000"/>
                <w:sz w:val="18"/>
                <w:szCs w:val="18"/>
              </w:rPr>
              <w:t>查看井口</w:t>
            </w:r>
            <w:r>
              <w:rPr>
                <w:rFonts w:ascii="宋体" w:hAnsi="宋体" w:eastAsia="宋体" w:cs="宋体"/>
                <w:color w:val="000000"/>
                <w:sz w:val="18"/>
                <w:szCs w:val="18"/>
              </w:rPr>
              <w:t>、办公楼现场</w:t>
            </w:r>
            <w:r>
              <w:rPr>
                <w:rFonts w:hint="eastAsia" w:ascii="宋体" w:hAnsi="宋体" w:eastAsia="宋体" w:cs="宋体"/>
                <w:color w:val="000000"/>
                <w:sz w:val="18"/>
                <w:szCs w:val="18"/>
              </w:rPr>
              <w:t>；</w:t>
            </w:r>
            <w:r>
              <w:rPr>
                <w:rFonts w:ascii="宋体" w:hAnsi="宋体" w:eastAsia="宋体" w:cs="宋体"/>
                <w:color w:val="000000"/>
                <w:sz w:val="18"/>
                <w:szCs w:val="18"/>
              </w:rPr>
              <w:t>查领导带班下井交接班记录和领导带班下井</w:t>
            </w:r>
            <w:r>
              <w:rPr>
                <w:rFonts w:hint="eastAsia" w:ascii="宋体" w:hAnsi="宋体" w:eastAsia="宋体" w:cs="宋体"/>
                <w:color w:val="000000"/>
                <w:sz w:val="18"/>
                <w:szCs w:val="18"/>
              </w:rPr>
              <w:t>档案</w:t>
            </w:r>
            <w:r>
              <w:rPr>
                <w:rFonts w:ascii="宋体" w:hAnsi="宋体" w:eastAsia="宋体" w:cs="宋体"/>
                <w:color w:val="000000"/>
                <w:sz w:val="18"/>
                <w:szCs w:val="18"/>
              </w:rPr>
              <w:t>等。</w:t>
            </w:r>
          </w:p>
        </w:tc>
        <w:tc>
          <w:tcPr>
            <w:tcW w:w="2617"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①《山东省安全</w:t>
            </w:r>
            <w:r>
              <w:rPr>
                <w:rFonts w:ascii="宋体" w:hAnsi="宋体" w:eastAsia="宋体" w:cs="宋体"/>
                <w:color w:val="000000"/>
                <w:sz w:val="18"/>
                <w:szCs w:val="18"/>
              </w:rPr>
              <w:t>生产条例</w:t>
            </w:r>
            <w:r>
              <w:rPr>
                <w:rFonts w:hint="eastAsia" w:ascii="宋体" w:hAnsi="宋体" w:eastAsia="宋体" w:cs="宋体"/>
                <w:color w:val="000000"/>
                <w:sz w:val="18"/>
                <w:szCs w:val="18"/>
              </w:rPr>
              <w:t>》第二十三</w:t>
            </w:r>
            <w:r>
              <w:rPr>
                <w:rFonts w:ascii="宋体" w:hAnsi="宋体" w:eastAsia="宋体" w:cs="宋体"/>
                <w:color w:val="000000"/>
                <w:sz w:val="18"/>
                <w:szCs w:val="18"/>
              </w:rPr>
              <w:t>条</w:t>
            </w:r>
            <w:r>
              <w:rPr>
                <w:rFonts w:hint="eastAsia" w:ascii="宋体" w:hAnsi="宋体" w:eastAsia="宋体" w:cs="宋体"/>
                <w:color w:val="000000"/>
                <w:sz w:val="18"/>
                <w:szCs w:val="18"/>
              </w:rPr>
              <w:t>。②《金属非金属地下矿山企业领导带班下井及监督检查暂行规定》第七条</w:t>
            </w:r>
            <w:r>
              <w:rPr>
                <w:rFonts w:ascii="宋体" w:hAnsi="宋体" w:eastAsia="宋体" w:cs="宋体"/>
                <w:color w:val="000000"/>
                <w:sz w:val="18"/>
                <w:szCs w:val="18"/>
              </w:rPr>
              <w:t>。</w:t>
            </w:r>
            <w:r>
              <w:rPr>
                <w:rFonts w:hint="eastAsia" w:ascii="宋体" w:hAnsi="宋体" w:eastAsia="宋体" w:cs="宋体"/>
                <w:color w:val="000000"/>
                <w:sz w:val="18"/>
                <w:szCs w:val="18"/>
              </w:rPr>
              <w:t>③《金属非金属地下矿山企业领导带班下井及监督检查暂行规定》第八条第二款。④《金属非金属地下矿山企业领导带班下井及监督检查暂行规定》第九条第二款。⑤《金属非金属地下矿山企业领导带班下井及监督检查暂行规定》第十一、</w:t>
            </w:r>
            <w:r>
              <w:rPr>
                <w:rFonts w:ascii="宋体" w:hAnsi="宋体" w:eastAsia="宋体" w:cs="宋体"/>
                <w:color w:val="000000"/>
                <w:sz w:val="18"/>
                <w:szCs w:val="18"/>
              </w:rPr>
              <w:t>十二</w:t>
            </w:r>
            <w:r>
              <w:rPr>
                <w:rFonts w:hint="eastAsia" w:ascii="宋体" w:hAnsi="宋体" w:eastAsia="宋体" w:cs="宋体"/>
                <w:color w:val="000000"/>
                <w:sz w:val="18"/>
                <w:szCs w:val="18"/>
              </w:rPr>
              <w:t>条</w:t>
            </w:r>
            <w:r>
              <w:rPr>
                <w:rFonts w:ascii="宋体" w:hAnsi="宋体" w:eastAsia="宋体" w:cs="宋体"/>
                <w:color w:val="000000"/>
                <w:sz w:val="18"/>
                <w:szCs w:val="18"/>
              </w:rPr>
              <w:t>。</w:t>
            </w:r>
          </w:p>
        </w:tc>
        <w:tc>
          <w:tcPr>
            <w:tcW w:w="2627"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《山东省安全</w:t>
            </w:r>
            <w:r>
              <w:rPr>
                <w:rFonts w:ascii="宋体" w:hAnsi="宋体" w:eastAsia="宋体" w:cs="宋体"/>
                <w:color w:val="000000"/>
                <w:sz w:val="18"/>
                <w:szCs w:val="18"/>
              </w:rPr>
              <w:t>生产条例</w:t>
            </w:r>
            <w:r>
              <w:rPr>
                <w:rFonts w:hint="eastAsia" w:ascii="宋体" w:hAnsi="宋体" w:eastAsia="宋体" w:cs="宋体"/>
                <w:color w:val="000000"/>
                <w:sz w:val="18"/>
                <w:szCs w:val="18"/>
              </w:rPr>
              <w:t>》第四十二</w:t>
            </w:r>
            <w:r>
              <w:rPr>
                <w:rFonts w:ascii="宋体" w:hAnsi="宋体" w:eastAsia="宋体" w:cs="宋体"/>
                <w:color w:val="000000"/>
                <w:sz w:val="18"/>
                <w:szCs w:val="18"/>
              </w:rPr>
              <w:t>条第（</w:t>
            </w:r>
            <w:r>
              <w:rPr>
                <w:rFonts w:hint="eastAsia" w:ascii="宋体" w:hAnsi="宋体" w:eastAsia="宋体" w:cs="宋体"/>
                <w:color w:val="000000"/>
                <w:sz w:val="18"/>
                <w:szCs w:val="18"/>
              </w:rPr>
              <w:t>七</w:t>
            </w:r>
            <w:r>
              <w:rPr>
                <w:rFonts w:ascii="宋体" w:hAnsi="宋体" w:eastAsia="宋体" w:cs="宋体"/>
                <w:color w:val="000000"/>
                <w:sz w:val="18"/>
                <w:szCs w:val="18"/>
              </w:rPr>
              <w:t>）</w:t>
            </w:r>
            <w:r>
              <w:rPr>
                <w:rFonts w:hint="eastAsia" w:ascii="宋体" w:hAnsi="宋体" w:eastAsia="宋体" w:cs="宋体"/>
                <w:color w:val="000000"/>
                <w:sz w:val="18"/>
                <w:szCs w:val="18"/>
              </w:rPr>
              <w:t>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《金属非金属地下矿山企业领导带班下井及监督检查暂行规定》第</w:t>
            </w:r>
            <w:r>
              <w:rPr>
                <w:rFonts w:ascii="宋体" w:hAnsi="宋体" w:eastAsia="宋体" w:cs="宋体"/>
                <w:color w:val="000000"/>
                <w:sz w:val="18"/>
                <w:szCs w:val="18"/>
              </w:rPr>
              <w:t>十八条</w:t>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《金属非金属地下矿山企业领导带班下井及监督检查暂行规定》第十九条</w:t>
            </w:r>
            <w:r>
              <w:rPr>
                <w:rFonts w:ascii="宋体" w:hAnsi="宋体" w:eastAsia="宋体" w:cs="宋体"/>
                <w:color w:val="000000"/>
                <w:sz w:val="18"/>
                <w:szCs w:val="18"/>
              </w:rPr>
              <w:t>第（</w:t>
            </w:r>
            <w:r>
              <w:rPr>
                <w:rFonts w:hint="eastAsia" w:ascii="宋体" w:hAnsi="宋体" w:eastAsia="宋体" w:cs="宋体"/>
                <w:color w:val="000000"/>
                <w:sz w:val="18"/>
                <w:szCs w:val="18"/>
              </w:rPr>
              <w:t>二</w:t>
            </w:r>
            <w:r>
              <w:rPr>
                <w:rFonts w:ascii="宋体" w:hAnsi="宋体" w:eastAsia="宋体" w:cs="宋体"/>
                <w:color w:val="000000"/>
                <w:sz w:val="18"/>
                <w:szCs w:val="18"/>
              </w:rPr>
              <w:t>）</w:t>
            </w:r>
            <w:r>
              <w:rPr>
                <w:rFonts w:hint="eastAsia" w:ascii="宋体" w:hAnsi="宋体" w:eastAsia="宋体" w:cs="宋体"/>
                <w:color w:val="000000"/>
                <w:sz w:val="18"/>
                <w:szCs w:val="18"/>
              </w:rPr>
              <w:t>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4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④</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《金属非金属地下矿山企业领导带班下井及监督检查暂行规定》第十九条</w:t>
            </w:r>
            <w:r>
              <w:rPr>
                <w:rFonts w:ascii="宋体" w:hAnsi="宋体" w:eastAsia="宋体" w:cs="宋体"/>
                <w:color w:val="000000"/>
                <w:sz w:val="18"/>
                <w:szCs w:val="18"/>
              </w:rPr>
              <w:t>第（</w:t>
            </w:r>
            <w:r>
              <w:rPr>
                <w:rFonts w:hint="eastAsia" w:ascii="宋体" w:hAnsi="宋体" w:eastAsia="宋体" w:cs="宋体"/>
                <w:color w:val="000000"/>
                <w:sz w:val="18"/>
                <w:szCs w:val="18"/>
              </w:rPr>
              <w:t>三</w:t>
            </w:r>
            <w:r>
              <w:rPr>
                <w:rFonts w:ascii="宋体" w:hAnsi="宋体" w:eastAsia="宋体" w:cs="宋体"/>
                <w:color w:val="000000"/>
                <w:sz w:val="18"/>
                <w:szCs w:val="18"/>
              </w:rPr>
              <w:t>）</w:t>
            </w:r>
            <w:r>
              <w:rPr>
                <w:rFonts w:hint="eastAsia" w:ascii="宋体" w:hAnsi="宋体" w:eastAsia="宋体" w:cs="宋体"/>
                <w:color w:val="000000"/>
                <w:sz w:val="18"/>
                <w:szCs w:val="18"/>
              </w:rPr>
              <w:t>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《金属非金属地下矿山企业领导带班下井及监督检查暂行规定》第二十条。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10</w:t>
            </w:r>
          </w:p>
        </w:tc>
        <w:tc>
          <w:tcPr>
            <w:tcW w:w="4432"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①是否为从业人员提供符合国家标准或者行业标准的劳动防护用品；</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②劳动防护用品配备标准制定情况；</w:t>
            </w:r>
          </w:p>
          <w:p>
            <w:pPr>
              <w:pStyle w:val="86"/>
              <w:spacing w:line="240" w:lineRule="exact"/>
              <w:ind w:firstLine="0" w:firstLineChars="0"/>
              <w:jc w:val="left"/>
              <w:rPr>
                <w:rFonts w:ascii="宋体" w:hAnsi="宋体" w:eastAsia="宋体" w:cs="宋体"/>
                <w:color w:val="000000"/>
                <w:sz w:val="18"/>
                <w:szCs w:val="18"/>
              </w:rPr>
            </w:pPr>
            <w:r>
              <w:rPr>
                <w:rFonts w:hint="eastAsia" w:ascii="宋体" w:hAnsi="宋体" w:eastAsia="宋体" w:cs="宋体"/>
                <w:color w:val="000000"/>
                <w:sz w:val="18"/>
                <w:szCs w:val="18"/>
              </w:rPr>
              <w:t>③</w:t>
            </w:r>
            <w:r>
              <w:rPr>
                <w:rFonts w:hint="eastAsia" w:ascii="宋体" w:hAnsi="宋体" w:cs="宋体"/>
                <w:color w:val="000000"/>
                <w:sz w:val="18"/>
                <w:szCs w:val="18"/>
              </w:rPr>
              <w:t>购</w:t>
            </w:r>
            <w:r>
              <w:rPr>
                <w:rFonts w:hint="eastAsia" w:ascii="宋体" w:hAnsi="宋体" w:eastAsia="宋体" w:cs="宋体"/>
                <w:color w:val="000000"/>
                <w:sz w:val="18"/>
                <w:szCs w:val="18"/>
              </w:rPr>
              <w:t>买和发放劳动防护用品记录在案情况。</w:t>
            </w:r>
          </w:p>
        </w:tc>
        <w:tc>
          <w:tcPr>
            <w:tcW w:w="2566" w:type="dxa"/>
            <w:vAlign w:val="center"/>
          </w:tcPr>
          <w:p>
            <w:pPr>
              <w:pStyle w:val="86"/>
              <w:spacing w:line="240" w:lineRule="exact"/>
              <w:ind w:firstLine="0" w:firstLineChars="0"/>
              <w:rPr>
                <w:rFonts w:ascii="宋体" w:hAnsi="宋体" w:eastAsia="宋体" w:cs="宋体"/>
                <w:color w:val="000000"/>
                <w:sz w:val="18"/>
                <w:szCs w:val="18"/>
              </w:rPr>
            </w:pPr>
            <w:r>
              <w:rPr>
                <w:rFonts w:hint="eastAsia" w:ascii="宋体" w:hAnsi="宋体" w:eastAsia="宋体" w:cs="宋体"/>
                <w:color w:val="000000"/>
                <w:sz w:val="18"/>
                <w:szCs w:val="18"/>
              </w:rPr>
              <w:t>查配备标准及采购、发放台账；现场抽检作业人员核实劳动防护用品配发及佩戴情况。</w:t>
            </w:r>
          </w:p>
        </w:tc>
        <w:tc>
          <w:tcPr>
            <w:tcW w:w="2617"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①《安全生产法》第四十二条。②《山东省生产经营单位安全生产主体责任规定》第</w:t>
            </w:r>
            <w:r>
              <w:rPr>
                <w:rFonts w:ascii="宋体" w:hAnsi="宋体" w:eastAsia="宋体" w:cs="宋体"/>
                <w:color w:val="000000"/>
                <w:sz w:val="18"/>
                <w:szCs w:val="18"/>
              </w:rPr>
              <w:t>二十一条第一款。</w:t>
            </w:r>
            <w:r>
              <w:rPr>
                <w:rFonts w:hint="eastAsia" w:ascii="宋体" w:hAnsi="宋体" w:eastAsia="宋体" w:cs="宋体"/>
                <w:color w:val="000000"/>
                <w:sz w:val="18"/>
                <w:szCs w:val="18"/>
              </w:rPr>
              <w:t>③《山东省生产经营单位安全生产主体责任规定》第</w:t>
            </w:r>
            <w:r>
              <w:rPr>
                <w:rFonts w:ascii="宋体" w:hAnsi="宋体" w:eastAsia="宋体" w:cs="宋体"/>
                <w:color w:val="000000"/>
                <w:sz w:val="18"/>
                <w:szCs w:val="18"/>
              </w:rPr>
              <w:t>二十一条第</w:t>
            </w:r>
            <w:r>
              <w:rPr>
                <w:rFonts w:hint="eastAsia" w:ascii="宋体" w:hAnsi="宋体" w:eastAsia="宋体" w:cs="宋体"/>
                <w:color w:val="000000"/>
                <w:sz w:val="18"/>
                <w:szCs w:val="18"/>
              </w:rPr>
              <w:t>二</w:t>
            </w:r>
            <w:r>
              <w:rPr>
                <w:rFonts w:ascii="宋体" w:hAnsi="宋体" w:eastAsia="宋体" w:cs="宋体"/>
                <w:color w:val="000000"/>
                <w:sz w:val="18"/>
                <w:szCs w:val="18"/>
              </w:rPr>
              <w:t>款。</w:t>
            </w:r>
          </w:p>
        </w:tc>
        <w:tc>
          <w:tcPr>
            <w:tcW w:w="2627"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《中华人民共和国安全生产法》第</w:t>
            </w:r>
            <w:r>
              <w:rPr>
                <w:rFonts w:ascii="宋体" w:hAnsi="宋体" w:eastAsia="宋体" w:cs="宋体"/>
                <w:color w:val="000000"/>
                <w:sz w:val="18"/>
                <w:szCs w:val="18"/>
              </w:rPr>
              <w:t>九十六条第（</w:t>
            </w:r>
            <w:r>
              <w:rPr>
                <w:rFonts w:hint="eastAsia" w:ascii="宋体" w:hAnsi="宋体" w:eastAsia="宋体" w:cs="宋体"/>
                <w:color w:val="000000"/>
                <w:sz w:val="18"/>
                <w:szCs w:val="18"/>
              </w:rPr>
              <w:t>四</w:t>
            </w:r>
            <w:r>
              <w:rPr>
                <w:rFonts w:ascii="宋体" w:hAnsi="宋体" w:eastAsia="宋体" w:cs="宋体"/>
                <w:color w:val="000000"/>
                <w:sz w:val="18"/>
                <w:szCs w:val="18"/>
              </w:rPr>
              <w:t>）</w:t>
            </w:r>
            <w:r>
              <w:rPr>
                <w:rFonts w:hint="eastAsia" w:ascii="宋体" w:hAnsi="宋体" w:eastAsia="宋体" w:cs="宋体"/>
                <w:color w:val="000000"/>
                <w:sz w:val="18"/>
                <w:szCs w:val="18"/>
              </w:rPr>
              <w:t>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《山东省生产经营单位安全生产主体责任规定》第</w:t>
            </w:r>
            <w:r>
              <w:rPr>
                <w:rFonts w:ascii="宋体" w:hAnsi="宋体" w:eastAsia="宋体" w:cs="宋体"/>
                <w:color w:val="000000"/>
                <w:sz w:val="18"/>
                <w:szCs w:val="18"/>
              </w:rPr>
              <w:t>二十一条第一款。</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《山东省生产经营单位安全生产主体责任规定》第</w:t>
            </w:r>
            <w:r>
              <w:rPr>
                <w:rFonts w:ascii="宋体" w:hAnsi="宋体" w:eastAsia="宋体" w:cs="宋体"/>
                <w:color w:val="000000"/>
                <w:sz w:val="18"/>
                <w:szCs w:val="18"/>
              </w:rPr>
              <w:t>二十一条第</w:t>
            </w:r>
            <w:r>
              <w:rPr>
                <w:rFonts w:hint="eastAsia" w:ascii="宋体" w:hAnsi="宋体" w:eastAsia="宋体" w:cs="宋体"/>
                <w:color w:val="000000"/>
                <w:sz w:val="18"/>
                <w:szCs w:val="18"/>
              </w:rPr>
              <w:t>二</w:t>
            </w:r>
            <w:r>
              <w:rPr>
                <w:rFonts w:ascii="宋体" w:hAnsi="宋体" w:eastAsia="宋体" w:cs="宋体"/>
                <w:color w:val="000000"/>
                <w:sz w:val="18"/>
                <w:szCs w:val="18"/>
              </w:rPr>
              <w:t>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11</w:t>
            </w:r>
          </w:p>
        </w:tc>
        <w:tc>
          <w:tcPr>
            <w:tcW w:w="4432"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与委托方签订技术服务合同情况；</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是否按照有关法规标准的强制性规定从事安全评价、检测检验活动；</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是否存在安全评价报告存在法规标准引用错误、关键危险有害因素漏项、重大危险源辨识错误、对策措施建议与存在问题严重不符等重大疏漏，但尚未造成重大损失的；</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4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④</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是否存在安全生产检测检验报告存在法规标准引用错误、关键项目漏检、结论不明确等重大疏漏，但尚未造成重大损失的；</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承担安全评价、检测检验工作的机构是否存在出具虚假证明问题；</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6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⑥</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是否存在未取得资质的机构及其有关人员擅自从事安全评价、检测检验服务情况。（在检查评价报告、检测检验报告时，重点关注评价、检测检验机构及其人员是否存在上述问题）</w:t>
            </w:r>
          </w:p>
        </w:tc>
        <w:tc>
          <w:tcPr>
            <w:tcW w:w="2566"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查</w:t>
            </w:r>
            <w:r>
              <w:rPr>
                <w:rFonts w:ascii="宋体" w:hAnsi="宋体" w:eastAsia="宋体" w:cs="宋体"/>
                <w:color w:val="000000"/>
                <w:sz w:val="18"/>
                <w:szCs w:val="18"/>
              </w:rPr>
              <w:t>评价、检测检验合同；</w:t>
            </w:r>
            <w:r>
              <w:rPr>
                <w:rFonts w:hint="eastAsia" w:ascii="宋体" w:hAnsi="宋体" w:eastAsia="宋体" w:cs="宋体"/>
                <w:color w:val="000000"/>
                <w:sz w:val="18"/>
                <w:szCs w:val="18"/>
              </w:rPr>
              <w:t>查</w:t>
            </w:r>
            <w:r>
              <w:rPr>
                <w:rFonts w:ascii="宋体" w:hAnsi="宋体" w:eastAsia="宋体" w:cs="宋体"/>
                <w:color w:val="000000"/>
                <w:sz w:val="18"/>
                <w:szCs w:val="18"/>
              </w:rPr>
              <w:t>评价报告、检测检验报告，</w:t>
            </w:r>
            <w:r>
              <w:rPr>
                <w:rFonts w:hint="eastAsia" w:ascii="宋体" w:hAnsi="宋体" w:eastAsia="宋体" w:cs="宋体"/>
                <w:color w:val="000000"/>
                <w:sz w:val="18"/>
                <w:szCs w:val="18"/>
              </w:rPr>
              <w:t>查</w:t>
            </w:r>
            <w:r>
              <w:rPr>
                <w:rFonts w:ascii="宋体" w:hAnsi="宋体" w:eastAsia="宋体" w:cs="宋体"/>
                <w:color w:val="000000"/>
                <w:sz w:val="18"/>
                <w:szCs w:val="18"/>
              </w:rPr>
              <w:t>设计、看现场</w:t>
            </w:r>
            <w:r>
              <w:rPr>
                <w:rFonts w:hint="eastAsia" w:ascii="宋体" w:hAnsi="宋体" w:eastAsia="宋体" w:cs="宋体"/>
                <w:color w:val="000000"/>
                <w:sz w:val="18"/>
                <w:szCs w:val="18"/>
              </w:rPr>
              <w:t>对比</w:t>
            </w:r>
            <w:r>
              <w:rPr>
                <w:rFonts w:ascii="宋体" w:hAnsi="宋体" w:eastAsia="宋体" w:cs="宋体"/>
                <w:color w:val="000000"/>
                <w:sz w:val="18"/>
                <w:szCs w:val="18"/>
              </w:rPr>
              <w:t>报告判定是否属于重大疏漏或虚假报告</w:t>
            </w:r>
            <w:r>
              <w:rPr>
                <w:rFonts w:hint="eastAsia" w:ascii="宋体" w:hAnsi="宋体" w:eastAsia="宋体" w:cs="宋体"/>
                <w:color w:val="000000"/>
                <w:sz w:val="18"/>
                <w:szCs w:val="18"/>
              </w:rPr>
              <w:t>；</w:t>
            </w:r>
            <w:r>
              <w:rPr>
                <w:rFonts w:ascii="宋体" w:hAnsi="宋体" w:eastAsia="宋体" w:cs="宋体"/>
                <w:color w:val="000000"/>
                <w:sz w:val="18"/>
                <w:szCs w:val="18"/>
              </w:rPr>
              <w:t>查机构、从事评价、检测检验有关人员资质、资格情况</w:t>
            </w:r>
            <w:r>
              <w:rPr>
                <w:rFonts w:hint="eastAsia" w:ascii="宋体" w:hAnsi="宋体" w:eastAsia="宋体" w:cs="宋体"/>
                <w:color w:val="000000"/>
                <w:sz w:val="18"/>
                <w:szCs w:val="18"/>
              </w:rPr>
              <w:t>及询问</w:t>
            </w:r>
            <w:r>
              <w:rPr>
                <w:rFonts w:ascii="宋体" w:hAnsi="宋体" w:eastAsia="宋体" w:cs="宋体"/>
                <w:color w:val="000000"/>
                <w:sz w:val="18"/>
                <w:szCs w:val="18"/>
              </w:rPr>
              <w:t>有关人员等。</w:t>
            </w:r>
          </w:p>
        </w:tc>
        <w:tc>
          <w:tcPr>
            <w:tcW w:w="2617"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《安全评价检测检验机构管理办法》第</w:t>
            </w:r>
            <w:r>
              <w:rPr>
                <w:rFonts w:ascii="宋体" w:hAnsi="宋体" w:eastAsia="宋体" w:cs="宋体"/>
                <w:color w:val="000000"/>
                <w:sz w:val="18"/>
                <w:szCs w:val="18"/>
              </w:rPr>
              <w:t>十六条</w:t>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《安全评价检测检验机构管理办法》第二十二</w:t>
            </w:r>
            <w:r>
              <w:rPr>
                <w:rFonts w:ascii="宋体" w:hAnsi="宋体" w:eastAsia="宋体" w:cs="宋体"/>
                <w:color w:val="000000"/>
                <w:sz w:val="18"/>
                <w:szCs w:val="18"/>
              </w:rPr>
              <w:t>条第（</w:t>
            </w:r>
            <w:r>
              <w:rPr>
                <w:rFonts w:hint="eastAsia" w:ascii="宋体" w:hAnsi="宋体" w:eastAsia="宋体" w:cs="宋体"/>
                <w:color w:val="000000"/>
                <w:sz w:val="18"/>
                <w:szCs w:val="18"/>
              </w:rPr>
              <w:t>一</w:t>
            </w:r>
            <w:r>
              <w:rPr>
                <w:rFonts w:ascii="宋体" w:hAnsi="宋体" w:eastAsia="宋体" w:cs="宋体"/>
                <w:color w:val="000000"/>
                <w:sz w:val="18"/>
                <w:szCs w:val="18"/>
              </w:rPr>
              <w:t>）</w:t>
            </w:r>
            <w:r>
              <w:rPr>
                <w:rFonts w:hint="eastAsia" w:ascii="宋体" w:hAnsi="宋体" w:eastAsia="宋体" w:cs="宋体"/>
                <w:color w:val="000000"/>
                <w:sz w:val="18"/>
                <w:szCs w:val="18"/>
              </w:rPr>
              <w:t>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《安全评价检测检验机构管理办法》第二十二</w:t>
            </w:r>
            <w:r>
              <w:rPr>
                <w:rFonts w:ascii="宋体" w:hAnsi="宋体" w:eastAsia="宋体" w:cs="宋体"/>
                <w:color w:val="000000"/>
                <w:sz w:val="18"/>
                <w:szCs w:val="18"/>
              </w:rPr>
              <w:t>条第（</w:t>
            </w:r>
            <w:r>
              <w:rPr>
                <w:rFonts w:hint="eastAsia" w:ascii="宋体" w:hAnsi="宋体" w:eastAsia="宋体" w:cs="宋体"/>
                <w:color w:val="000000"/>
                <w:sz w:val="18"/>
                <w:szCs w:val="18"/>
              </w:rPr>
              <w:t>五</w:t>
            </w:r>
            <w:r>
              <w:rPr>
                <w:rFonts w:ascii="宋体" w:hAnsi="宋体" w:eastAsia="宋体" w:cs="宋体"/>
                <w:color w:val="000000"/>
                <w:sz w:val="18"/>
                <w:szCs w:val="18"/>
              </w:rPr>
              <w:t>）</w:t>
            </w:r>
            <w:r>
              <w:rPr>
                <w:rFonts w:hint="eastAsia" w:ascii="宋体" w:hAnsi="宋体" w:eastAsia="宋体" w:cs="宋体"/>
                <w:color w:val="000000"/>
                <w:sz w:val="18"/>
                <w:szCs w:val="18"/>
              </w:rPr>
              <w:t>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4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④</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《安全评价检测检验机构管理办法》第二十二</w:t>
            </w:r>
            <w:r>
              <w:rPr>
                <w:rFonts w:ascii="宋体" w:hAnsi="宋体" w:eastAsia="宋体" w:cs="宋体"/>
                <w:color w:val="000000"/>
                <w:sz w:val="18"/>
                <w:szCs w:val="18"/>
              </w:rPr>
              <w:t>条第（</w:t>
            </w:r>
            <w:r>
              <w:rPr>
                <w:rFonts w:hint="eastAsia" w:ascii="宋体" w:hAnsi="宋体" w:eastAsia="宋体" w:cs="宋体"/>
                <w:color w:val="000000"/>
                <w:sz w:val="18"/>
                <w:szCs w:val="18"/>
              </w:rPr>
              <w:t>五</w:t>
            </w:r>
            <w:r>
              <w:rPr>
                <w:rFonts w:ascii="宋体" w:hAnsi="宋体" w:eastAsia="宋体" w:cs="宋体"/>
                <w:color w:val="000000"/>
                <w:sz w:val="18"/>
                <w:szCs w:val="18"/>
              </w:rPr>
              <w:t>）</w:t>
            </w:r>
            <w:r>
              <w:rPr>
                <w:rFonts w:hint="eastAsia" w:ascii="宋体" w:hAnsi="宋体" w:eastAsia="宋体" w:cs="宋体"/>
                <w:color w:val="000000"/>
                <w:sz w:val="18"/>
                <w:szCs w:val="18"/>
              </w:rPr>
              <w:t>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《安全评价检测检验机构管理办法》第二十二</w:t>
            </w:r>
            <w:r>
              <w:rPr>
                <w:rFonts w:ascii="宋体" w:hAnsi="宋体" w:eastAsia="宋体" w:cs="宋体"/>
                <w:color w:val="000000"/>
                <w:sz w:val="18"/>
                <w:szCs w:val="18"/>
              </w:rPr>
              <w:t>条第（</w:t>
            </w:r>
            <w:r>
              <w:rPr>
                <w:rFonts w:hint="eastAsia" w:ascii="宋体" w:hAnsi="宋体" w:eastAsia="宋体" w:cs="宋体"/>
                <w:color w:val="000000"/>
                <w:sz w:val="18"/>
                <w:szCs w:val="18"/>
              </w:rPr>
              <w:t>五</w:t>
            </w:r>
            <w:r>
              <w:rPr>
                <w:rFonts w:ascii="宋体" w:hAnsi="宋体" w:eastAsia="宋体" w:cs="宋体"/>
                <w:color w:val="000000"/>
                <w:sz w:val="18"/>
                <w:szCs w:val="18"/>
              </w:rPr>
              <w:t>）</w:t>
            </w:r>
            <w:r>
              <w:rPr>
                <w:rFonts w:hint="eastAsia" w:ascii="宋体" w:hAnsi="宋体" w:eastAsia="宋体" w:cs="宋体"/>
                <w:color w:val="000000"/>
                <w:sz w:val="18"/>
                <w:szCs w:val="18"/>
              </w:rPr>
              <w:t>项。</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6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⑥</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《安全评价检测检验机构管理办法》第二十二</w:t>
            </w:r>
            <w:r>
              <w:rPr>
                <w:rFonts w:ascii="宋体" w:hAnsi="宋体" w:eastAsia="宋体" w:cs="宋体"/>
                <w:color w:val="000000"/>
                <w:sz w:val="18"/>
                <w:szCs w:val="18"/>
              </w:rPr>
              <w:t>条第（</w:t>
            </w:r>
            <w:r>
              <w:rPr>
                <w:rFonts w:hint="eastAsia" w:ascii="宋体" w:hAnsi="宋体" w:eastAsia="宋体" w:cs="宋体"/>
                <w:color w:val="000000"/>
                <w:sz w:val="18"/>
                <w:szCs w:val="18"/>
              </w:rPr>
              <w:t>二</w:t>
            </w:r>
            <w:r>
              <w:rPr>
                <w:rFonts w:ascii="宋体" w:hAnsi="宋体" w:eastAsia="宋体" w:cs="宋体"/>
                <w:color w:val="000000"/>
                <w:sz w:val="18"/>
                <w:szCs w:val="18"/>
              </w:rPr>
              <w:t>）</w:t>
            </w:r>
            <w:r>
              <w:rPr>
                <w:rFonts w:hint="eastAsia" w:ascii="宋体" w:hAnsi="宋体" w:eastAsia="宋体" w:cs="宋体"/>
                <w:color w:val="000000"/>
                <w:sz w:val="18"/>
                <w:szCs w:val="18"/>
              </w:rPr>
              <w:t>、</w:t>
            </w:r>
            <w:r>
              <w:rPr>
                <w:rFonts w:ascii="宋体" w:hAnsi="宋体" w:eastAsia="宋体" w:cs="宋体"/>
                <w:color w:val="000000"/>
                <w:sz w:val="18"/>
                <w:szCs w:val="18"/>
              </w:rPr>
              <w:t>（</w:t>
            </w:r>
            <w:r>
              <w:rPr>
                <w:rFonts w:hint="eastAsia" w:ascii="宋体" w:hAnsi="宋体" w:eastAsia="宋体" w:cs="宋体"/>
                <w:color w:val="000000"/>
                <w:sz w:val="18"/>
                <w:szCs w:val="18"/>
              </w:rPr>
              <w:t>三</w:t>
            </w:r>
            <w:r>
              <w:rPr>
                <w:rFonts w:ascii="宋体" w:hAnsi="宋体" w:eastAsia="宋体" w:cs="宋体"/>
                <w:color w:val="000000"/>
                <w:sz w:val="18"/>
                <w:szCs w:val="18"/>
              </w:rPr>
              <w:t>）</w:t>
            </w:r>
            <w:r>
              <w:rPr>
                <w:rFonts w:hint="eastAsia" w:ascii="宋体" w:hAnsi="宋体" w:eastAsia="宋体" w:cs="宋体"/>
                <w:color w:val="000000"/>
                <w:sz w:val="18"/>
                <w:szCs w:val="18"/>
              </w:rPr>
              <w:t>项，</w:t>
            </w:r>
            <w:r>
              <w:rPr>
                <w:rFonts w:ascii="宋体" w:hAnsi="宋体" w:eastAsia="宋体" w:cs="宋体"/>
                <w:color w:val="000000"/>
                <w:sz w:val="18"/>
                <w:szCs w:val="18"/>
              </w:rPr>
              <w:t xml:space="preserve"> </w:t>
            </w:r>
          </w:p>
        </w:tc>
        <w:tc>
          <w:tcPr>
            <w:tcW w:w="2627"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4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④</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处置依据《安全评价检测检验机构管理办法》第三十</w:t>
            </w:r>
            <w:r>
              <w:rPr>
                <w:rFonts w:ascii="宋体" w:hAnsi="宋体" w:eastAsia="宋体" w:cs="宋体"/>
                <w:color w:val="000000"/>
                <w:sz w:val="18"/>
                <w:szCs w:val="18"/>
              </w:rPr>
              <w:t>条</w:t>
            </w:r>
            <w:r>
              <w:rPr>
                <w:rFonts w:hint="eastAsia" w:ascii="宋体" w:hAnsi="宋体" w:eastAsia="宋体" w:cs="宋体"/>
                <w:color w:val="000000"/>
                <w:sz w:val="18"/>
                <w:szCs w:val="18"/>
              </w:rPr>
              <w:t>，责令改正或者责令限期改正，给予警告，可以并处一万元以下的罚款。</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《安全评价检测检验机构管理办法》第三十一第</w:t>
            </w:r>
            <w:r>
              <w:rPr>
                <w:rFonts w:ascii="宋体" w:hAnsi="宋体" w:eastAsia="宋体" w:cs="宋体"/>
                <w:color w:val="000000"/>
                <w:sz w:val="18"/>
                <w:szCs w:val="18"/>
              </w:rPr>
              <w:t>一款条</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6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⑥</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《安全评价检测检验机构管理办法》第二十九</w:t>
            </w:r>
            <w:r>
              <w:rPr>
                <w:rFonts w:ascii="宋体" w:hAnsi="宋体" w:eastAsia="宋体" w:cs="宋体"/>
                <w:color w:val="000000"/>
                <w:sz w:val="18"/>
                <w:szCs w:val="18"/>
              </w:rPr>
              <w:t>条</w:t>
            </w:r>
            <w:r>
              <w:rPr>
                <w:rFonts w:hint="eastAsia" w:ascii="宋体" w:hAnsi="宋体" w:eastAsia="宋体" w:cs="宋体"/>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84" w:type="dxa"/>
            <w:vMerge w:val="restart"/>
            <w:vAlign w:val="center"/>
          </w:tcPr>
          <w:p>
            <w:pPr>
              <w:spacing w:line="240" w:lineRule="exact"/>
              <w:jc w:val="center"/>
              <w:rPr>
                <w:rFonts w:ascii="宋体" w:hAnsi="宋体" w:cs="宋体"/>
                <w:color w:val="000000"/>
                <w:sz w:val="18"/>
                <w:szCs w:val="18"/>
              </w:rPr>
            </w:pPr>
            <w:r>
              <w:rPr>
                <w:rFonts w:hint="eastAsia" w:ascii="宋体" w:hAnsi="宋体" w:cs="宋体"/>
                <w:color w:val="000000"/>
                <w:sz w:val="18"/>
                <w:szCs w:val="18"/>
              </w:rPr>
              <w:t>12</w:t>
            </w:r>
          </w:p>
        </w:tc>
        <w:tc>
          <w:tcPr>
            <w:tcW w:w="4432" w:type="dxa"/>
            <w:vAlign w:val="center"/>
          </w:tcPr>
          <w:p>
            <w:pPr>
              <w:spacing w:line="220" w:lineRule="exact"/>
              <w:jc w:val="left"/>
              <w:rPr>
                <w:rFonts w:ascii="宋体" w:hAnsi="宋体" w:eastAsia="宋体" w:cs="宋体"/>
                <w:color w:val="000000"/>
                <w:sz w:val="18"/>
                <w:szCs w:val="18"/>
              </w:rPr>
            </w:pPr>
            <w:r>
              <w:rPr>
                <w:rFonts w:hint="eastAsia" w:ascii="宋体" w:hAnsi="宋体" w:eastAsia="宋体" w:cs="宋体"/>
                <w:color w:val="000000"/>
                <w:sz w:val="18"/>
                <w:szCs w:val="18"/>
              </w:rPr>
              <w:t>是否按照财政部《企业安全生产费用提取和使用管理办法》（财企【2012】16号）规定，提取和专项使用安全生产费用。</w:t>
            </w:r>
          </w:p>
          <w:p>
            <w:pPr>
              <w:spacing w:line="220" w:lineRule="exact"/>
              <w:jc w:val="left"/>
              <w:rPr>
                <w:rFonts w:ascii="宋体" w:hAnsi="宋体" w:eastAsia="宋体" w:cs="宋体"/>
                <w:color w:val="000000"/>
                <w:sz w:val="18"/>
                <w:szCs w:val="18"/>
              </w:rPr>
            </w:pPr>
            <w:r>
              <w:rPr>
                <w:rFonts w:hint="eastAsia" w:ascii="宋体" w:hAnsi="宋体" w:eastAsia="宋体" w:cs="宋体"/>
                <w:color w:val="000000"/>
                <w:sz w:val="18"/>
                <w:szCs w:val="18"/>
              </w:rPr>
              <w:t>使用范围：完善、改造和维护安全防护设施设备（不含“三同时”要求初期投入的安全设施）和</w:t>
            </w:r>
            <w:r>
              <w:fldChar w:fldCharType="begin"/>
            </w:r>
            <w:r>
              <w:instrText xml:space="preserve"> HYPERLINK "http://baike.baidu.com/view/2258012.htm" \t "_blank" </w:instrText>
            </w:r>
            <w:r>
              <w:fldChar w:fldCharType="separate"/>
            </w:r>
            <w:r>
              <w:rPr>
                <w:rFonts w:hint="eastAsia" w:ascii="宋体" w:hAnsi="宋体" w:eastAsia="宋体" w:cs="宋体"/>
                <w:color w:val="000000"/>
                <w:sz w:val="18"/>
                <w:szCs w:val="18"/>
              </w:rPr>
              <w:t>重大安全隐患</w:t>
            </w:r>
            <w:r>
              <w:rPr>
                <w:rFonts w:hint="eastAsia" w:ascii="宋体" w:hAnsi="宋体" w:eastAsia="宋体" w:cs="宋体"/>
                <w:color w:val="000000"/>
                <w:sz w:val="18"/>
                <w:szCs w:val="18"/>
              </w:rPr>
              <w:fldChar w:fldCharType="end"/>
            </w:r>
            <w:r>
              <w:rPr>
                <w:rFonts w:hint="eastAsia" w:ascii="宋体" w:hAnsi="宋体" w:eastAsia="宋体" w:cs="宋体"/>
                <w:color w:val="000000"/>
                <w:sz w:val="18"/>
                <w:szCs w:val="18"/>
              </w:rPr>
              <w:t>治理支出，包括矿山综合防尘、防灭火、防治水、危险气体监测、通风系统、支护及防治边帮滑坡设备、机电设备、供配电系统、运输（提升）系统和尾矿库等完善、改造和维护支出以及实施地压监测监控、露天矿边坡治理、采空区治理等支出；完善非煤矿山监测监控、人员定位、紧急避险、压风自救、供水施救和通信联络等安全避险“六大系统”支出，完善尾矿库全过程在线监控系统和海上石油开采出海人员动态跟踪系统支出，应急救援技术装备、设施配置及维护保养支出，事故逃生和紧急避难设施设备的配置和应急演练支出；开展重大危险源和事故隐患评估、监控和整改支出；安全生产检查、评价（不包括新建、改建、扩建项目安全评价）、咨询、标准化建设支出；配备和更新现场作业人员安全防护用品支出；安全生产宣传、教育、培训支出；安全生产适用的新技术、新标准、新工艺、新装备的推广应用支出；安全设施及特种设备检测检验支出；尾矿库闭库及闭库后维护费用支出；地质勘探单位野外应急食品、应急器械、应急药品支出；其他与安全生产直接相关的支出。</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sz w:val="18"/>
                <w:szCs w:val="18"/>
              </w:rPr>
              <w:t>查看销售收入账目、企业安全费用提取账户，查看提取金额是否正确，是否单独核算，专款专用、单独报帐结算。</w:t>
            </w:r>
          </w:p>
        </w:tc>
        <w:tc>
          <w:tcPr>
            <w:tcW w:w="2617"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sz w:val="18"/>
                <w:szCs w:val="18"/>
              </w:rPr>
              <w:t>《山东省安全生产条例》第十七条第一款。</w:t>
            </w:r>
          </w:p>
        </w:tc>
        <w:tc>
          <w:tcPr>
            <w:tcW w:w="2627" w:type="dxa"/>
            <w:vAlign w:val="center"/>
          </w:tcPr>
          <w:p>
            <w:pPr>
              <w:spacing w:line="240" w:lineRule="exact"/>
              <w:rPr>
                <w:rFonts w:ascii="宋体" w:hAnsi="宋体" w:eastAsia="宋体" w:cs="宋体"/>
                <w:color w:val="000000"/>
                <w:sz w:val="18"/>
                <w:szCs w:val="18"/>
              </w:rPr>
            </w:pPr>
            <w:r>
              <w:rPr>
                <w:rFonts w:hint="eastAsia" w:ascii="宋体" w:hAnsi="宋体" w:eastAsia="宋体" w:cs="宋体"/>
                <w:sz w:val="18"/>
                <w:szCs w:val="18"/>
              </w:rPr>
              <w:t>《山东省安全生产条例》第四十二条第（四）项。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84" w:type="dxa"/>
            <w:vMerge w:val="continue"/>
            <w:vAlign w:val="center"/>
          </w:tcPr>
          <w:p>
            <w:pPr>
              <w:spacing w:line="240" w:lineRule="exact"/>
              <w:jc w:val="center"/>
              <w:rPr>
                <w:rFonts w:ascii="宋体" w:hAnsi="宋体" w:cs="宋体"/>
                <w:color w:val="000000"/>
                <w:sz w:val="18"/>
                <w:szCs w:val="18"/>
              </w:rPr>
            </w:pPr>
          </w:p>
        </w:tc>
        <w:tc>
          <w:tcPr>
            <w:tcW w:w="4432"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是否按规定缴纳安全生产责任保险。</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查看企业花名册、安责险缴纳凭证，重点查看缴纳投保人数是否与企业实际相符。</w:t>
            </w:r>
          </w:p>
        </w:tc>
        <w:tc>
          <w:tcPr>
            <w:tcW w:w="2617"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《山东省生产经营单位安全生产主体责任规定》第三十五条第（二）项。</w:t>
            </w:r>
          </w:p>
        </w:tc>
        <w:tc>
          <w:tcPr>
            <w:tcW w:w="2627"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《山东省生产经营单位安全生产主体责任规定》第三十五条。</w:t>
            </w:r>
          </w:p>
        </w:tc>
      </w:tr>
    </w:tbl>
    <w:p>
      <w:pPr>
        <w:spacing w:line="360" w:lineRule="exact"/>
        <w:rPr>
          <w:rFonts w:ascii="Times New Roman" w:hAnsi="Times New Roman" w:eastAsia="仿宋" w:cs="Times New Roman"/>
          <w:sz w:val="32"/>
          <w:szCs w:val="32"/>
        </w:rPr>
      </w:pPr>
    </w:p>
    <w:p>
      <w:pPr>
        <w:tabs>
          <w:tab w:val="left" w:pos="1940"/>
        </w:tabs>
        <w:jc w:val="left"/>
        <w:rPr>
          <w:rFonts w:ascii="黑体" w:hAnsi="黑体" w:eastAsia="黑体" w:cs="黑体"/>
          <w:sz w:val="32"/>
          <w:szCs w:val="32"/>
        </w:rPr>
      </w:pPr>
      <w:r>
        <w:rPr>
          <w:rFonts w:ascii="Times New Roman" w:hAnsi="Times New Roman" w:eastAsia="仿宋" w:cs="Times New Roman"/>
          <w:sz w:val="32"/>
          <w:szCs w:val="32"/>
        </w:rPr>
        <w:br w:type="page"/>
      </w:r>
      <w:r>
        <w:rPr>
          <w:rFonts w:hint="eastAsia" w:ascii="黑体" w:hAnsi="黑体" w:eastAsia="黑体" w:cs="黑体"/>
          <w:sz w:val="32"/>
          <w:szCs w:val="32"/>
        </w:rPr>
        <w:t>附件2</w:t>
      </w:r>
    </w:p>
    <w:p>
      <w:pPr>
        <w:spacing w:after="295" w:afterLines="50"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地下非煤矿山现场作业管理执法检查表</w:t>
      </w: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4"/>
        <w:gridCol w:w="4432"/>
        <w:gridCol w:w="2566"/>
        <w:gridCol w:w="2617"/>
        <w:gridCol w:w="26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blHeader/>
          <w:jc w:val="center"/>
        </w:trPr>
        <w:tc>
          <w:tcPr>
            <w:tcW w:w="684" w:type="dxa"/>
            <w:vAlign w:val="center"/>
          </w:tcPr>
          <w:p>
            <w:pPr>
              <w:spacing w:line="240" w:lineRule="exact"/>
              <w:jc w:val="center"/>
              <w:rPr>
                <w:rFonts w:ascii="黑体" w:hAnsi="黑体" w:eastAsia="黑体" w:cs="黑体"/>
                <w:color w:val="000000"/>
                <w:sz w:val="18"/>
                <w:szCs w:val="18"/>
              </w:rPr>
            </w:pPr>
            <w:r>
              <w:rPr>
                <w:rFonts w:hint="eastAsia" w:ascii="黑体" w:hAnsi="黑体" w:eastAsia="黑体" w:cs="黑体"/>
                <w:color w:val="000000"/>
                <w:sz w:val="18"/>
                <w:szCs w:val="18"/>
              </w:rPr>
              <w:t>序号</w:t>
            </w:r>
          </w:p>
        </w:tc>
        <w:tc>
          <w:tcPr>
            <w:tcW w:w="4432" w:type="dxa"/>
            <w:vAlign w:val="center"/>
          </w:tcPr>
          <w:p>
            <w:pPr>
              <w:spacing w:line="240" w:lineRule="exact"/>
              <w:jc w:val="center"/>
              <w:rPr>
                <w:rFonts w:ascii="黑体" w:hAnsi="黑体" w:eastAsia="黑体" w:cs="黑体"/>
                <w:color w:val="000000"/>
                <w:sz w:val="18"/>
                <w:szCs w:val="18"/>
              </w:rPr>
            </w:pPr>
            <w:r>
              <w:rPr>
                <w:rFonts w:hint="eastAsia" w:ascii="黑体" w:hAnsi="黑体" w:eastAsia="黑体" w:cs="黑体"/>
                <w:color w:val="000000"/>
                <w:sz w:val="18"/>
                <w:szCs w:val="18"/>
              </w:rPr>
              <w:t>检查内容</w:t>
            </w:r>
          </w:p>
        </w:tc>
        <w:tc>
          <w:tcPr>
            <w:tcW w:w="2566" w:type="dxa"/>
            <w:vAlign w:val="center"/>
          </w:tcPr>
          <w:p>
            <w:pPr>
              <w:spacing w:line="240" w:lineRule="exact"/>
              <w:jc w:val="center"/>
              <w:rPr>
                <w:rFonts w:ascii="黑体" w:hAnsi="黑体" w:eastAsia="黑体" w:cs="黑体"/>
                <w:color w:val="000000"/>
                <w:sz w:val="18"/>
                <w:szCs w:val="18"/>
              </w:rPr>
            </w:pPr>
            <w:r>
              <w:rPr>
                <w:rFonts w:hint="eastAsia" w:ascii="黑体" w:hAnsi="黑体" w:eastAsia="黑体" w:cs="黑体"/>
                <w:color w:val="000000"/>
                <w:sz w:val="18"/>
                <w:szCs w:val="18"/>
              </w:rPr>
              <w:t>检查方法</w:t>
            </w:r>
          </w:p>
        </w:tc>
        <w:tc>
          <w:tcPr>
            <w:tcW w:w="2617" w:type="dxa"/>
            <w:vAlign w:val="center"/>
          </w:tcPr>
          <w:p>
            <w:pPr>
              <w:spacing w:line="240" w:lineRule="exact"/>
              <w:jc w:val="center"/>
              <w:rPr>
                <w:rFonts w:ascii="黑体" w:hAnsi="黑体" w:eastAsia="黑体" w:cs="黑体"/>
                <w:color w:val="000000"/>
                <w:sz w:val="18"/>
                <w:szCs w:val="18"/>
              </w:rPr>
            </w:pPr>
            <w:r>
              <w:rPr>
                <w:rFonts w:hint="eastAsia" w:ascii="黑体" w:hAnsi="黑体" w:eastAsia="黑体" w:cs="黑体"/>
                <w:color w:val="000000"/>
                <w:sz w:val="18"/>
                <w:szCs w:val="18"/>
              </w:rPr>
              <w:t>执法依据</w:t>
            </w:r>
          </w:p>
        </w:tc>
        <w:tc>
          <w:tcPr>
            <w:tcW w:w="2627" w:type="dxa"/>
            <w:vAlign w:val="center"/>
          </w:tcPr>
          <w:p>
            <w:pPr>
              <w:spacing w:line="240" w:lineRule="exact"/>
              <w:jc w:val="center"/>
              <w:rPr>
                <w:rFonts w:ascii="黑体" w:hAnsi="黑体" w:eastAsia="黑体" w:cs="黑体"/>
                <w:color w:val="000000"/>
                <w:sz w:val="18"/>
                <w:szCs w:val="18"/>
              </w:rPr>
            </w:pPr>
            <w:r>
              <w:rPr>
                <w:rFonts w:hint="eastAsia" w:ascii="黑体" w:hAnsi="黑体" w:eastAsia="黑体" w:cs="黑体"/>
                <w:color w:val="000000"/>
                <w:sz w:val="18"/>
                <w:szCs w:val="18"/>
              </w:rPr>
              <w:t>处罚依据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1</w:t>
            </w:r>
          </w:p>
        </w:tc>
        <w:tc>
          <w:tcPr>
            <w:tcW w:w="4432"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①图纸是否齐全及更新（矿山应保存完整以下图纸，并根据实际情况的变化即时更新：矿区地形地质和水文地质图；井上、下对照图；中段平面图；通风系统图；提升运输系统图；风、水管网系统图；充填系统图；井下通讯系统图；井上、下配电系统图；井下电气设备布置图；井下避灾路线图）</w:t>
            </w:r>
          </w:p>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现状图与实际严重不符判定为</w:t>
            </w:r>
            <w:r>
              <w:rPr>
                <w:rFonts w:ascii="宋体" w:hAnsi="宋体" w:eastAsia="宋体" w:cs="宋体"/>
                <w:color w:val="000000"/>
                <w:sz w:val="18"/>
                <w:szCs w:val="18"/>
              </w:rPr>
              <w:t>重大事故隐患</w:t>
            </w:r>
            <w:r>
              <w:rPr>
                <w:rFonts w:hint="eastAsia" w:ascii="宋体" w:hAnsi="宋体" w:eastAsia="宋体" w:cs="宋体"/>
                <w:color w:val="000000"/>
                <w:sz w:val="18"/>
                <w:szCs w:val="18"/>
              </w:rPr>
              <w:t>。</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sz w:val="18"/>
                <w:szCs w:val="18"/>
              </w:rPr>
              <w:t>查看图纸，对照现场进行抽查。</w:t>
            </w:r>
          </w:p>
        </w:tc>
        <w:tc>
          <w:tcPr>
            <w:tcW w:w="2617"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①检查依据《金属非金属矿山安全规程》（GB16423</w:t>
            </w:r>
            <w:r>
              <w:rPr>
                <w:rFonts w:ascii="宋体" w:hAnsi="宋体" w:eastAsia="宋体" w:cs="宋体"/>
                <w:color w:val="000000"/>
                <w:sz w:val="18"/>
                <w:szCs w:val="18"/>
              </w:rPr>
              <w:t>-2006</w:t>
            </w:r>
            <w:r>
              <w:rPr>
                <w:rFonts w:hint="eastAsia" w:ascii="宋体" w:hAnsi="宋体" w:eastAsia="宋体" w:cs="宋体"/>
                <w:color w:val="000000"/>
                <w:sz w:val="18"/>
                <w:szCs w:val="18"/>
              </w:rPr>
              <w:t>）</w:t>
            </w:r>
            <w:r>
              <w:rPr>
                <w:rFonts w:ascii="宋体" w:hAnsi="宋体" w:eastAsia="宋体" w:cs="宋体"/>
                <w:color w:val="000000"/>
                <w:sz w:val="18"/>
                <w:szCs w:val="18"/>
              </w:rPr>
              <w:t>4.16</w:t>
            </w:r>
            <w:r>
              <w:rPr>
                <w:rFonts w:hint="eastAsia" w:ascii="宋体" w:hAnsi="宋体" w:eastAsia="宋体" w:cs="宋体"/>
                <w:color w:val="000000"/>
                <w:sz w:val="18"/>
                <w:szCs w:val="18"/>
              </w:rPr>
              <w:t>。</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《安全生产法》第三十八条第一款</w:t>
            </w:r>
          </w:p>
        </w:tc>
        <w:tc>
          <w:tcPr>
            <w:tcW w:w="2627"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w:t>
            </w:r>
            <w:r>
              <w:rPr>
                <w:rFonts w:hint="eastAsia" w:ascii="宋体" w:hAnsi="宋体" w:eastAsia="宋体" w:cs="宋体"/>
                <w:color w:val="000000"/>
                <w:sz w:val="18"/>
                <w:szCs w:val="18"/>
                <w:lang w:eastAsia="zh-CN"/>
              </w:rPr>
              <w:t>中华</w:t>
            </w:r>
            <w:r>
              <w:rPr>
                <w:rFonts w:hint="eastAsia" w:ascii="宋体" w:hAnsi="宋体" w:eastAsia="宋体" w:cs="宋体"/>
                <w:color w:val="000000"/>
                <w:sz w:val="18"/>
                <w:szCs w:val="18"/>
              </w:rPr>
              <w:t>人民共和国安全生产法》第九十九条。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2</w:t>
            </w:r>
          </w:p>
        </w:tc>
        <w:tc>
          <w:tcPr>
            <w:tcW w:w="4432"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安全出口（地表、每个生产</w:t>
            </w:r>
            <w:r>
              <w:rPr>
                <w:rFonts w:ascii="宋体" w:hAnsi="宋体" w:eastAsia="宋体" w:cs="宋体"/>
                <w:color w:val="000000"/>
                <w:sz w:val="18"/>
                <w:szCs w:val="18"/>
              </w:rPr>
              <w:t>水平</w:t>
            </w:r>
            <w:r>
              <w:rPr>
                <w:rFonts w:hint="eastAsia" w:ascii="宋体" w:hAnsi="宋体" w:eastAsia="宋体" w:cs="宋体"/>
                <w:color w:val="000000"/>
                <w:sz w:val="18"/>
                <w:szCs w:val="18"/>
              </w:rPr>
              <w:t>、每个采区）是否符合国家标准、行业标准或设计要求。（安全出口不符合国家标准、行业标准或设计要求判定为重大事故隐患）</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检查设计、图纸，结合现场检查。</w:t>
            </w:r>
          </w:p>
        </w:tc>
        <w:tc>
          <w:tcPr>
            <w:tcW w:w="261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《安全生产法》第三十九条第二款、《金属非金属矿山安全规程》</w:t>
            </w:r>
            <w:r>
              <w:rPr>
                <w:rFonts w:ascii="宋体" w:hAnsi="宋体" w:eastAsia="宋体" w:cs="宋体"/>
                <w:color w:val="000000"/>
                <w:sz w:val="18"/>
                <w:szCs w:val="18"/>
              </w:rPr>
              <w:t>6.1.1.3</w:t>
            </w:r>
            <w:r>
              <w:rPr>
                <w:rFonts w:hint="eastAsia" w:ascii="宋体" w:hAnsi="宋体" w:eastAsia="宋体" w:cs="宋体"/>
                <w:color w:val="000000"/>
                <w:sz w:val="18"/>
                <w:szCs w:val="18"/>
              </w:rPr>
              <w:t>、</w:t>
            </w:r>
            <w:r>
              <w:rPr>
                <w:rFonts w:ascii="宋体" w:hAnsi="宋体" w:eastAsia="宋体" w:cs="宋体"/>
                <w:color w:val="000000"/>
                <w:sz w:val="18"/>
                <w:szCs w:val="18"/>
              </w:rPr>
              <w:t>6.2.1.2</w:t>
            </w:r>
            <w:r>
              <w:rPr>
                <w:rFonts w:hint="eastAsia" w:ascii="宋体" w:hAnsi="宋体" w:eastAsia="宋体" w:cs="宋体"/>
                <w:color w:val="000000"/>
                <w:sz w:val="18"/>
                <w:szCs w:val="18"/>
              </w:rPr>
              <w:t>。</w:t>
            </w:r>
          </w:p>
        </w:tc>
        <w:tc>
          <w:tcPr>
            <w:tcW w:w="2627"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《安全生产法》第一百零二条。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3</w:t>
            </w:r>
          </w:p>
        </w:tc>
        <w:tc>
          <w:tcPr>
            <w:tcW w:w="4432"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是否存在擅自开采各种保安矿柱或其形式及参数劣于设计值问题；</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采用留矿法、空场法采矿的矿山是否及时处理采空区。（不符合上述要求的判定为重大事故隐患）</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对照设计、</w:t>
            </w:r>
            <w:r>
              <w:rPr>
                <w:rFonts w:ascii="宋体" w:hAnsi="宋体" w:eastAsia="宋体" w:cs="宋体"/>
                <w:color w:val="000000"/>
                <w:sz w:val="18"/>
                <w:szCs w:val="18"/>
              </w:rPr>
              <w:t>图纸</w:t>
            </w:r>
            <w:r>
              <w:rPr>
                <w:rFonts w:hint="eastAsia" w:ascii="宋体" w:hAnsi="宋体" w:eastAsia="宋体" w:cs="宋体"/>
                <w:color w:val="000000"/>
                <w:sz w:val="18"/>
                <w:szCs w:val="18"/>
              </w:rPr>
              <w:t>、作业规程，查看现场。</w:t>
            </w:r>
          </w:p>
        </w:tc>
        <w:tc>
          <w:tcPr>
            <w:tcW w:w="261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《安全生产法》第三十八条第一款、《金属非金属矿山安全规程》</w:t>
            </w:r>
            <w:r>
              <w:rPr>
                <w:rFonts w:ascii="宋体" w:hAnsi="宋体" w:eastAsia="宋体" w:cs="宋体"/>
                <w:color w:val="000000"/>
                <w:sz w:val="18"/>
                <w:szCs w:val="18"/>
              </w:rPr>
              <w:t>6.2.1.4</w:t>
            </w:r>
            <w:r>
              <w:rPr>
                <w:rFonts w:hint="eastAsia" w:ascii="宋体" w:hAnsi="宋体" w:eastAsia="宋体" w:cs="宋体"/>
                <w:color w:val="000000"/>
                <w:sz w:val="18"/>
                <w:szCs w:val="18"/>
              </w:rPr>
              <w:t>。</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《安全生产法》第三十八条第一款、《金属非金属矿山安全规程》</w:t>
            </w:r>
            <w:r>
              <w:rPr>
                <w:rFonts w:ascii="宋体" w:hAnsi="宋体" w:eastAsia="宋体" w:cs="宋体"/>
                <w:color w:val="000000"/>
                <w:sz w:val="18"/>
                <w:szCs w:val="18"/>
              </w:rPr>
              <w:t>6.2.1.10</w:t>
            </w:r>
            <w:r>
              <w:rPr>
                <w:rFonts w:hint="eastAsia" w:ascii="宋体" w:hAnsi="宋体" w:eastAsia="宋体" w:cs="宋体"/>
                <w:color w:val="000000"/>
                <w:sz w:val="18"/>
                <w:szCs w:val="18"/>
              </w:rPr>
              <w:t>。</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w:t>
            </w:r>
            <w:r>
              <w:rPr>
                <w:rFonts w:hint="eastAsia" w:ascii="宋体" w:hAnsi="宋体" w:eastAsia="宋体" w:cs="宋体"/>
                <w:color w:val="000000"/>
                <w:sz w:val="18"/>
                <w:szCs w:val="18"/>
                <w:lang w:eastAsia="zh-CN"/>
              </w:rPr>
              <w:t>中华</w:t>
            </w:r>
            <w:r>
              <w:rPr>
                <w:rFonts w:hint="eastAsia" w:ascii="宋体" w:hAnsi="宋体" w:eastAsia="宋体" w:cs="宋体"/>
                <w:color w:val="000000"/>
                <w:sz w:val="18"/>
                <w:szCs w:val="18"/>
              </w:rPr>
              <w:t>人民共和国安全生产法》第九十九条。</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《中国人民共和国安全生产法》第九</w:t>
            </w:r>
            <w:bookmarkStart w:id="0" w:name="_GoBack"/>
            <w:bookmarkEnd w:id="0"/>
            <w:r>
              <w:rPr>
                <w:rFonts w:hint="eastAsia" w:ascii="宋体" w:hAnsi="宋体" w:eastAsia="宋体" w:cs="宋体"/>
                <w:color w:val="000000"/>
                <w:sz w:val="18"/>
                <w:szCs w:val="18"/>
              </w:rPr>
              <w:t>十九条</w:t>
            </w:r>
            <w:r>
              <w:rPr>
                <w:rFonts w:ascii="宋体" w:hAnsi="宋体" w:eastAsia="宋体" w:cs="宋体"/>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4</w:t>
            </w:r>
          </w:p>
        </w:tc>
        <w:tc>
          <w:tcPr>
            <w:tcW w:w="4432"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提升机（提升绞车）、防坠器、提升机钢丝绳是否定期检测；</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斜井提升是否按规定设置常闭式防跑车装置；</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竖井提升系统是否设置过卷保护装置或过卷高度是否符合规定要求；</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4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④</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竖井提升系统保护和闭锁连锁装置是否符合规定要求。</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架线式电机车运输的滑触线高度是否符合要求；</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6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⑥</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电机车运输的滑触线分段开关设置是否符合要求。</w:t>
            </w:r>
          </w:p>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（防坠器未按期检测的为重大事故隐患）</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查设计、图纸、检测检验报告；现场检查（勘验）。</w:t>
            </w:r>
          </w:p>
        </w:tc>
        <w:tc>
          <w:tcPr>
            <w:tcW w:w="261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《安全生产法》第三十三条第二款、《</w:t>
            </w:r>
            <w:r>
              <w:rPr>
                <w:rFonts w:ascii="宋体" w:hAnsi="宋体" w:eastAsia="宋体" w:cs="宋体"/>
                <w:color w:val="000000"/>
                <w:sz w:val="18"/>
                <w:szCs w:val="18"/>
              </w:rPr>
              <w:t>金属非金属矿山在用摩擦式提升机安全检测检验</w:t>
            </w:r>
            <w:r>
              <w:rPr>
                <w:rFonts w:hint="eastAsia" w:ascii="宋体" w:hAnsi="宋体" w:eastAsia="宋体" w:cs="宋体"/>
                <w:color w:val="000000"/>
                <w:sz w:val="18"/>
                <w:szCs w:val="18"/>
              </w:rPr>
              <w:t>规范》</w:t>
            </w:r>
            <w:r>
              <w:rPr>
                <w:rFonts w:ascii="宋体" w:hAnsi="宋体" w:eastAsia="宋体" w:cs="宋体"/>
                <w:color w:val="000000"/>
                <w:sz w:val="18"/>
                <w:szCs w:val="18"/>
              </w:rPr>
              <w:t xml:space="preserve"> </w:t>
            </w:r>
            <w:r>
              <w:rPr>
                <w:rFonts w:hint="eastAsia" w:ascii="宋体" w:hAnsi="宋体" w:eastAsia="宋体" w:cs="宋体"/>
                <w:color w:val="000000"/>
                <w:sz w:val="18"/>
                <w:szCs w:val="18"/>
              </w:rPr>
              <w:t>（</w:t>
            </w:r>
            <w:r>
              <w:rPr>
                <w:rFonts w:ascii="宋体" w:hAnsi="宋体" w:eastAsia="宋体" w:cs="宋体"/>
                <w:color w:val="000000"/>
                <w:sz w:val="18"/>
                <w:szCs w:val="18"/>
              </w:rPr>
              <w:t>AQ 2021</w:t>
            </w:r>
            <w:r>
              <w:rPr>
                <w:rFonts w:hint="eastAsia" w:ascii="宋体" w:hAnsi="宋体" w:eastAsia="宋体" w:cs="宋体"/>
                <w:color w:val="000000"/>
                <w:sz w:val="18"/>
                <w:szCs w:val="18"/>
              </w:rPr>
              <w:t>-2008）、《</w:t>
            </w:r>
            <w:r>
              <w:rPr>
                <w:rFonts w:ascii="宋体" w:hAnsi="宋体" w:eastAsia="宋体" w:cs="宋体"/>
                <w:color w:val="000000"/>
                <w:sz w:val="18"/>
                <w:szCs w:val="18"/>
              </w:rPr>
              <w:t>金属非金属矿山在用缠绕式提升机安全检测检验规</w:t>
            </w:r>
            <w:r>
              <w:rPr>
                <w:rFonts w:hint="eastAsia" w:ascii="宋体" w:hAnsi="宋体" w:eastAsia="宋体" w:cs="宋体"/>
                <w:color w:val="000000"/>
                <w:sz w:val="18"/>
                <w:szCs w:val="18"/>
              </w:rPr>
              <w:t>范》（</w:t>
            </w:r>
            <w:r>
              <w:rPr>
                <w:rFonts w:ascii="宋体" w:hAnsi="宋体" w:eastAsia="宋体" w:cs="宋体"/>
                <w:color w:val="000000"/>
                <w:sz w:val="18"/>
                <w:szCs w:val="18"/>
              </w:rPr>
              <w:t>AQ 2020</w:t>
            </w:r>
            <w:r>
              <w:rPr>
                <w:rFonts w:hint="eastAsia" w:ascii="宋体" w:hAnsi="宋体" w:eastAsia="宋体" w:cs="宋体"/>
                <w:color w:val="000000"/>
                <w:sz w:val="18"/>
                <w:szCs w:val="18"/>
              </w:rPr>
              <w:t>-2008）、《</w:t>
            </w:r>
            <w:r>
              <w:rPr>
                <w:rFonts w:ascii="宋体" w:hAnsi="宋体" w:eastAsia="宋体" w:cs="宋体"/>
                <w:color w:val="000000"/>
                <w:sz w:val="18"/>
                <w:szCs w:val="18"/>
              </w:rPr>
              <w:t>金属非金属矿山在用提升绞车安全检测检验规范</w:t>
            </w:r>
            <w:r>
              <w:rPr>
                <w:rFonts w:hint="eastAsia" w:ascii="宋体" w:hAnsi="宋体" w:eastAsia="宋体" w:cs="宋体"/>
                <w:color w:val="000000"/>
                <w:sz w:val="18"/>
                <w:szCs w:val="18"/>
              </w:rPr>
              <w:t>》（</w:t>
            </w:r>
            <w:r>
              <w:rPr>
                <w:rFonts w:ascii="宋体" w:hAnsi="宋体" w:eastAsia="宋体" w:cs="宋体"/>
                <w:color w:val="000000"/>
                <w:sz w:val="18"/>
                <w:szCs w:val="18"/>
              </w:rPr>
              <w:t>AQ 2022</w:t>
            </w:r>
            <w:r>
              <w:rPr>
                <w:rFonts w:hint="eastAsia" w:ascii="宋体" w:hAnsi="宋体" w:eastAsia="宋体" w:cs="宋体"/>
                <w:color w:val="000000"/>
                <w:sz w:val="18"/>
                <w:szCs w:val="18"/>
              </w:rPr>
              <w:t>-2008）、《金属非金属矿山提升钢丝绳检验规范》（</w:t>
            </w:r>
            <w:r>
              <w:rPr>
                <w:rFonts w:ascii="宋体" w:hAnsi="宋体" w:eastAsia="宋体" w:cs="宋体"/>
                <w:color w:val="000000"/>
                <w:sz w:val="18"/>
                <w:szCs w:val="18"/>
              </w:rPr>
              <w:t>AQ 2026</w:t>
            </w:r>
            <w:r>
              <w:rPr>
                <w:rFonts w:hint="eastAsia" w:ascii="宋体" w:hAnsi="宋体" w:eastAsia="宋体" w:cs="宋体"/>
                <w:color w:val="000000"/>
                <w:sz w:val="18"/>
                <w:szCs w:val="18"/>
              </w:rPr>
              <w:t>-2010）、《金属非金属矿山安全规程》</w:t>
            </w:r>
            <w:r>
              <w:rPr>
                <w:rFonts w:ascii="宋体" w:hAnsi="宋体" w:eastAsia="宋体" w:cs="宋体"/>
                <w:color w:val="000000"/>
                <w:sz w:val="18"/>
                <w:szCs w:val="18"/>
              </w:rPr>
              <w:t>第6.3.4.12</w:t>
            </w:r>
            <w:r>
              <w:rPr>
                <w:rFonts w:hint="eastAsia" w:ascii="宋体" w:hAnsi="宋体" w:eastAsia="宋体" w:cs="宋体"/>
                <w:color w:val="000000"/>
                <w:sz w:val="18"/>
                <w:szCs w:val="18"/>
              </w:rPr>
              <w:t>、《</w:t>
            </w:r>
            <w:r>
              <w:rPr>
                <w:rFonts w:ascii="宋体" w:hAnsi="宋体" w:eastAsia="宋体" w:cs="宋体"/>
                <w:color w:val="000000"/>
                <w:sz w:val="18"/>
                <w:szCs w:val="18"/>
              </w:rPr>
              <w:t>金属非金属矿山竖井提升系统防坠器安全性能检测检</w:t>
            </w:r>
            <w:r>
              <w:rPr>
                <w:rFonts w:hint="eastAsia" w:ascii="宋体" w:hAnsi="宋体" w:eastAsia="宋体" w:cs="宋体"/>
                <w:color w:val="000000"/>
                <w:sz w:val="18"/>
                <w:szCs w:val="18"/>
              </w:rPr>
              <w:t>验规范》（</w:t>
            </w:r>
            <w:r>
              <w:rPr>
                <w:rFonts w:ascii="宋体" w:hAnsi="宋体" w:eastAsia="宋体" w:cs="宋体"/>
                <w:color w:val="000000"/>
                <w:sz w:val="18"/>
                <w:szCs w:val="18"/>
              </w:rPr>
              <w:t>AQ 2019</w:t>
            </w:r>
            <w:r>
              <w:rPr>
                <w:rFonts w:hint="eastAsia" w:ascii="宋体" w:hAnsi="宋体" w:eastAsia="宋体" w:cs="宋体"/>
                <w:color w:val="000000"/>
                <w:sz w:val="18"/>
                <w:szCs w:val="18"/>
              </w:rPr>
              <w:t>-2010）。</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《安全生产法》第三十三条第一款、《金属非金属矿山安全规程》</w:t>
            </w:r>
            <w:r>
              <w:rPr>
                <w:rFonts w:ascii="宋体" w:hAnsi="宋体" w:eastAsia="宋体" w:cs="宋体"/>
                <w:color w:val="000000"/>
                <w:sz w:val="18"/>
                <w:szCs w:val="18"/>
              </w:rPr>
              <w:t>6.3.2.6</w:t>
            </w:r>
            <w:r>
              <w:rPr>
                <w:rFonts w:hint="eastAsia" w:ascii="宋体" w:hAnsi="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《安全生产法》第三十三条第一款、《金属非金属矿山安全规程》</w:t>
            </w:r>
            <w:r>
              <w:rPr>
                <w:rFonts w:ascii="宋体" w:hAnsi="宋体" w:eastAsia="宋体" w:cs="宋体"/>
                <w:color w:val="000000"/>
                <w:sz w:val="18"/>
                <w:szCs w:val="18"/>
              </w:rPr>
              <w:t>6.3.3.21</w:t>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4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④</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检查依据《安全生产法》第三十三条第一款、《金属非金属矿山安全规程》</w:t>
            </w:r>
            <w:r>
              <w:rPr>
                <w:rFonts w:ascii="宋体" w:hAnsi="宋体" w:eastAsia="宋体" w:cs="宋体"/>
                <w:color w:val="000000"/>
                <w:sz w:val="18"/>
                <w:szCs w:val="18"/>
              </w:rPr>
              <w:t>6.3.5.10及6.3.5.11</w:t>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检《安全生产法》第三十八条第一款、《金属非金属矿山安全规程》</w:t>
            </w:r>
            <w:r>
              <w:rPr>
                <w:rFonts w:ascii="宋体" w:hAnsi="宋体" w:eastAsia="宋体" w:cs="宋体"/>
                <w:color w:val="000000"/>
                <w:sz w:val="18"/>
                <w:szCs w:val="18"/>
              </w:rPr>
              <w:t>6.3.</w:t>
            </w:r>
            <w:r>
              <w:rPr>
                <w:rFonts w:hint="eastAsia" w:ascii="宋体" w:hAnsi="宋体" w:eastAsia="宋体" w:cs="宋体"/>
                <w:color w:val="000000"/>
                <w:sz w:val="18"/>
                <w:szCs w:val="18"/>
              </w:rPr>
              <w:t>1</w:t>
            </w:r>
            <w:r>
              <w:rPr>
                <w:rFonts w:ascii="宋体" w:hAnsi="宋体" w:eastAsia="宋体" w:cs="宋体"/>
                <w:color w:val="000000"/>
                <w:sz w:val="18"/>
                <w:szCs w:val="18"/>
              </w:rPr>
              <w:t>.</w:t>
            </w:r>
            <w:r>
              <w:rPr>
                <w:rFonts w:hint="eastAsia" w:ascii="宋体" w:hAnsi="宋体" w:eastAsia="宋体" w:cs="宋体"/>
                <w:color w:val="000000"/>
                <w:sz w:val="18"/>
                <w:szCs w:val="18"/>
              </w:rPr>
              <w:t>13。</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6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⑥</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《安全生产法》第三十八条第一款、《金属非金属矿山安全规程》</w:t>
            </w:r>
            <w:r>
              <w:rPr>
                <w:rFonts w:ascii="宋体" w:hAnsi="宋体" w:eastAsia="宋体" w:cs="宋体"/>
                <w:color w:val="000000"/>
                <w:sz w:val="18"/>
                <w:szCs w:val="18"/>
              </w:rPr>
              <w:t>6.3.</w:t>
            </w:r>
            <w:r>
              <w:rPr>
                <w:rFonts w:hint="eastAsia" w:ascii="宋体" w:hAnsi="宋体" w:eastAsia="宋体" w:cs="宋体"/>
                <w:color w:val="000000"/>
                <w:sz w:val="18"/>
                <w:szCs w:val="18"/>
              </w:rPr>
              <w:t>1</w:t>
            </w:r>
            <w:r>
              <w:rPr>
                <w:rFonts w:ascii="宋体" w:hAnsi="宋体" w:eastAsia="宋体" w:cs="宋体"/>
                <w:color w:val="000000"/>
                <w:sz w:val="18"/>
                <w:szCs w:val="18"/>
              </w:rPr>
              <w:t>.</w:t>
            </w:r>
            <w:r>
              <w:rPr>
                <w:rFonts w:hint="eastAsia" w:ascii="宋体" w:hAnsi="宋体" w:eastAsia="宋体" w:cs="宋体"/>
                <w:color w:val="000000"/>
                <w:sz w:val="18"/>
                <w:szCs w:val="18"/>
              </w:rPr>
              <w:t>14。</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《安全生产法》第九十六条第（三）项。</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《安全生产法》第九十六条第（二）项。</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《安全生产法》第九十六条第（二）项。</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4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④</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《安全生产法》第九十六条第（二）项。</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《安全生产法》第九十九条。</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6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⑥</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《安全生产法》第九十九条。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cs="宋体"/>
                <w:color w:val="000000"/>
                <w:sz w:val="18"/>
                <w:szCs w:val="18"/>
              </w:rPr>
            </w:pPr>
            <w:r>
              <w:rPr>
                <w:rFonts w:hint="eastAsia" w:ascii="宋体" w:hAnsi="宋体" w:cs="宋体"/>
                <w:color w:val="000000"/>
                <w:sz w:val="18"/>
                <w:szCs w:val="18"/>
              </w:rPr>
              <w:t>5</w:t>
            </w:r>
          </w:p>
        </w:tc>
        <w:tc>
          <w:tcPr>
            <w:tcW w:w="4432"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竖井梯子间设置是否符合要求；</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行人的运输斜井人行道是否符合要求；</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行人的水平巷道有效净高、有效宽度是否符合要求。</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查设计、现场检查（勘验）。</w:t>
            </w:r>
          </w:p>
        </w:tc>
        <w:tc>
          <w:tcPr>
            <w:tcW w:w="2617"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《安全生产法》第三十八条第一款、《金属非金属矿山安全规程》6.1.1.6、6.1.1.7、6.1.1.8、6.1.1.9。</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《安全生产法》第九十九条。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cs="宋体"/>
                <w:color w:val="000000"/>
                <w:sz w:val="18"/>
                <w:szCs w:val="18"/>
              </w:rPr>
            </w:pPr>
            <w:r>
              <w:rPr>
                <w:rFonts w:hint="eastAsia" w:ascii="宋体" w:hAnsi="宋体" w:cs="宋体"/>
                <w:color w:val="000000"/>
                <w:sz w:val="18"/>
                <w:szCs w:val="18"/>
              </w:rPr>
              <w:t>6</w:t>
            </w:r>
          </w:p>
        </w:tc>
        <w:tc>
          <w:tcPr>
            <w:tcW w:w="4432"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是否建立顶板分级管理制度；</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对顶板不稳固的采场，是否有监控手段和处理措施；</w:t>
            </w:r>
            <w:r>
              <w:rPr>
                <w:rFonts w:ascii="宋体" w:hAnsi="宋体" w:eastAsia="宋体" w:cs="宋体"/>
                <w:color w:val="000000"/>
                <w:sz w:val="18"/>
                <w:szCs w:val="18"/>
              </w:rPr>
              <w:t xml:space="preserve"> </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不稳固岩层采掘是否及时支护。</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（违反</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判定为重大事故隐患）</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查设计、制度汇编，现场检查。</w:t>
            </w:r>
          </w:p>
        </w:tc>
        <w:tc>
          <w:tcPr>
            <w:tcW w:w="2617"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安全生产法》第三十八条第一款、《金属非金属矿山安全规程》</w:t>
            </w:r>
            <w:r>
              <w:rPr>
                <w:rFonts w:ascii="宋体" w:hAnsi="宋体" w:eastAsia="宋体" w:cs="宋体"/>
                <w:color w:val="000000"/>
                <w:sz w:val="18"/>
                <w:szCs w:val="18"/>
              </w:rPr>
              <w:t>6.</w:t>
            </w:r>
            <w:r>
              <w:rPr>
                <w:rFonts w:hint="eastAsia" w:ascii="宋体" w:hAnsi="宋体" w:eastAsia="宋体" w:cs="宋体"/>
                <w:color w:val="000000"/>
                <w:sz w:val="18"/>
                <w:szCs w:val="18"/>
              </w:rPr>
              <w:t>2.1.8。</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《安全生产法》第三十八条第一款、《金属非金属矿山安全规程》</w:t>
            </w:r>
            <w:r>
              <w:rPr>
                <w:rFonts w:ascii="宋体" w:hAnsi="宋体" w:eastAsia="宋体" w:cs="宋体"/>
                <w:color w:val="000000"/>
                <w:sz w:val="18"/>
                <w:szCs w:val="18"/>
              </w:rPr>
              <w:t>6.</w:t>
            </w:r>
            <w:r>
              <w:rPr>
                <w:rFonts w:hint="eastAsia" w:ascii="宋体" w:hAnsi="宋体" w:eastAsia="宋体" w:cs="宋体"/>
                <w:color w:val="000000"/>
                <w:sz w:val="18"/>
                <w:szCs w:val="18"/>
              </w:rPr>
              <w:t>2.1.8。</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《安全生产法》第三十八条第一款、《金属非金属矿山安全规程》</w:t>
            </w:r>
            <w:r>
              <w:rPr>
                <w:rFonts w:ascii="宋体" w:hAnsi="宋体" w:eastAsia="宋体" w:cs="宋体"/>
                <w:color w:val="000000"/>
                <w:sz w:val="18"/>
                <w:szCs w:val="18"/>
              </w:rPr>
              <w:t>6.</w:t>
            </w:r>
            <w:r>
              <w:rPr>
                <w:rFonts w:hint="eastAsia" w:ascii="宋体" w:hAnsi="宋体" w:eastAsia="宋体" w:cs="宋体"/>
                <w:color w:val="000000"/>
                <w:sz w:val="18"/>
                <w:szCs w:val="18"/>
              </w:rPr>
              <w:t>1.5.1。</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《安全生产法》第九十九条。</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《安全生产法》第九十九条。</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《安全生产法》第九十九条。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cs="宋体"/>
                <w:color w:val="000000"/>
                <w:sz w:val="18"/>
                <w:szCs w:val="18"/>
              </w:rPr>
            </w:pPr>
            <w:r>
              <w:rPr>
                <w:rFonts w:hint="eastAsia" w:ascii="宋体" w:hAnsi="宋体" w:eastAsia="宋体" w:cs="宋体"/>
                <w:color w:val="000000"/>
                <w:sz w:val="18"/>
                <w:szCs w:val="18"/>
              </w:rPr>
              <w:t>7</w:t>
            </w:r>
          </w:p>
        </w:tc>
        <w:tc>
          <w:tcPr>
            <w:tcW w:w="4432"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井口标高在当地历史最高洪水位</w:t>
            </w:r>
            <w:r>
              <w:rPr>
                <w:rFonts w:ascii="宋体" w:hAnsi="宋体" w:eastAsia="宋体" w:cs="宋体"/>
                <w:color w:val="000000"/>
                <w:sz w:val="18"/>
                <w:szCs w:val="18"/>
              </w:rPr>
              <w:t>1米以下，</w:t>
            </w:r>
            <w:r>
              <w:rPr>
                <w:rFonts w:hint="eastAsia" w:ascii="宋体" w:hAnsi="宋体" w:eastAsia="宋体" w:cs="宋体"/>
                <w:color w:val="000000"/>
                <w:sz w:val="18"/>
                <w:szCs w:val="18"/>
              </w:rPr>
              <w:t>是否</w:t>
            </w:r>
            <w:r>
              <w:rPr>
                <w:rFonts w:ascii="宋体" w:hAnsi="宋体" w:eastAsia="宋体" w:cs="宋体"/>
                <w:color w:val="000000"/>
                <w:sz w:val="18"/>
                <w:szCs w:val="18"/>
              </w:rPr>
              <w:t>采取相应防护措施</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②排水泵、主排水系统是否定期检验；</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③是否建立排水系统；</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④排水泵数量及排水能力是否符合要求；</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是否按规定设置防水门；</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⑥主要泵房是否按规定设置安全出口；</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水仓设置是否符合要求。</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（违反</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、④判定为重大事故隐患）</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查设计等技术资料、结合现场检查询问；查排水泵、主排水系统定期检验报告。</w:t>
            </w:r>
          </w:p>
        </w:tc>
        <w:tc>
          <w:tcPr>
            <w:tcW w:w="2617"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①《安全生产法》第三十八条第一款、《金属非金属矿山安全规程》6.6.2.3</w:t>
            </w:r>
            <w:r>
              <w:rPr>
                <w:rFonts w:ascii="宋体" w:hAnsi="宋体" w:eastAsia="宋体" w:cs="宋体"/>
                <w:color w:val="000000"/>
                <w:sz w:val="18"/>
                <w:szCs w:val="18"/>
              </w:rPr>
              <w:t>。</w:t>
            </w:r>
            <w:r>
              <w:rPr>
                <w:rFonts w:hint="eastAsia" w:ascii="宋体" w:hAnsi="宋体" w:eastAsia="宋体" w:cs="宋体"/>
                <w:color w:val="000000"/>
                <w:sz w:val="18"/>
                <w:szCs w:val="18"/>
              </w:rPr>
              <w:t>②《安全生产法》</w:t>
            </w:r>
            <w:r>
              <w:rPr>
                <w:rFonts w:ascii="宋体" w:hAnsi="宋体" w:eastAsia="宋体"/>
                <w:sz w:val="18"/>
                <w:szCs w:val="18"/>
              </w:rPr>
              <w:t>第三十三条第二款</w:t>
            </w:r>
            <w:r>
              <w:rPr>
                <w:rFonts w:hint="eastAsia" w:ascii="宋体" w:hAnsi="宋体" w:eastAsia="宋体"/>
                <w:sz w:val="18"/>
                <w:szCs w:val="18"/>
              </w:rPr>
              <w:t>、《</w:t>
            </w:r>
            <w:r>
              <w:rPr>
                <w:rFonts w:ascii="宋体" w:hAnsi="宋体" w:eastAsia="宋体"/>
                <w:sz w:val="18"/>
                <w:szCs w:val="18"/>
              </w:rPr>
              <w:t>金属非金属地下矿山主排水系统安全检验规范</w:t>
            </w:r>
            <w:r>
              <w:rPr>
                <w:rFonts w:hint="eastAsia" w:ascii="宋体" w:hAnsi="宋体" w:eastAsia="宋体"/>
                <w:sz w:val="18"/>
                <w:szCs w:val="18"/>
              </w:rPr>
              <w:t>》（</w:t>
            </w:r>
            <w:r>
              <w:rPr>
                <w:rFonts w:ascii="宋体" w:hAnsi="宋体" w:eastAsia="宋体"/>
                <w:sz w:val="18"/>
                <w:szCs w:val="18"/>
              </w:rPr>
              <w:t>AQ 2029</w:t>
            </w:r>
            <w:r>
              <w:rPr>
                <w:rFonts w:hint="eastAsia" w:ascii="宋体" w:hAnsi="宋体" w:eastAsia="宋体"/>
                <w:sz w:val="18"/>
                <w:szCs w:val="18"/>
              </w:rPr>
              <w:t>-2010）。</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《非煤矿矿山企业安全生产许可证实施办法》、《金属非金属矿山安全规程》</w:t>
            </w:r>
            <w:r>
              <w:rPr>
                <w:rFonts w:ascii="宋体" w:hAnsi="宋体" w:eastAsia="宋体" w:cs="宋体"/>
                <w:color w:val="000000"/>
                <w:sz w:val="18"/>
                <w:szCs w:val="18"/>
              </w:rPr>
              <w:t>6.6.2.</w:t>
            </w:r>
            <w:r>
              <w:rPr>
                <w:rFonts w:hint="eastAsia" w:ascii="宋体" w:hAnsi="宋体" w:eastAsia="宋体" w:cs="宋体"/>
                <w:color w:val="000000"/>
                <w:sz w:val="18"/>
                <w:szCs w:val="18"/>
              </w:rPr>
              <w:t>1</w:t>
            </w:r>
            <w:r>
              <w:rPr>
                <w:rFonts w:hint="eastAsia" w:ascii="宋体" w:hAnsi="宋体" w:eastAsia="宋体"/>
                <w:sz w:val="18"/>
                <w:szCs w:val="18"/>
              </w:rPr>
              <w:t>。</w:t>
            </w:r>
            <w:r>
              <w:rPr>
                <w:rFonts w:hint="eastAsia" w:ascii="宋体" w:hAnsi="宋体" w:eastAsia="宋体" w:cs="宋体"/>
                <w:color w:val="000000"/>
                <w:sz w:val="18"/>
                <w:szCs w:val="18"/>
              </w:rPr>
              <w:t>④</w:t>
            </w:r>
            <w:r>
              <w:rPr>
                <w:rFonts w:ascii="宋体" w:hAnsi="宋体" w:eastAsia="宋体"/>
                <w:sz w:val="18"/>
                <w:szCs w:val="18"/>
              </w:rPr>
              <w:t>《安全生产法》第三十三条第一款</w:t>
            </w:r>
            <w:r>
              <w:rPr>
                <w:rFonts w:hint="eastAsia" w:ascii="宋体" w:hAnsi="宋体" w:eastAsia="宋体"/>
                <w:sz w:val="18"/>
                <w:szCs w:val="18"/>
              </w:rPr>
              <w:t>、《金属非金属矿山安全规程》</w:t>
            </w:r>
            <w:r>
              <w:rPr>
                <w:rFonts w:ascii="宋体" w:hAnsi="宋体" w:eastAsia="宋体"/>
                <w:sz w:val="18"/>
                <w:szCs w:val="18"/>
              </w:rPr>
              <w:t>6.6.</w:t>
            </w:r>
            <w:r>
              <w:rPr>
                <w:rFonts w:hint="eastAsia" w:ascii="宋体" w:hAnsi="宋体" w:eastAsia="宋体"/>
                <w:sz w:val="18"/>
                <w:szCs w:val="18"/>
              </w:rPr>
              <w:t>4.1。</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《安全生产法》第三十三条第一款、《金属非金属矿山安全规程》</w:t>
            </w:r>
            <w:r>
              <w:rPr>
                <w:rFonts w:ascii="宋体" w:hAnsi="宋体" w:eastAsia="宋体" w:cs="宋体"/>
                <w:color w:val="000000"/>
                <w:sz w:val="18"/>
                <w:szCs w:val="18"/>
              </w:rPr>
              <w:t>6.6.</w:t>
            </w:r>
            <w:r>
              <w:rPr>
                <w:rFonts w:hint="eastAsia" w:ascii="宋体" w:hAnsi="宋体" w:eastAsia="宋体" w:cs="宋体"/>
                <w:color w:val="000000"/>
                <w:sz w:val="18"/>
                <w:szCs w:val="18"/>
              </w:rPr>
              <w:t>3.3。⑥《安全生产法》第三十九条第二款、《金属非金属矿山安全规程》</w:t>
            </w:r>
            <w:r>
              <w:rPr>
                <w:rFonts w:ascii="宋体" w:hAnsi="宋体" w:eastAsia="宋体" w:cs="宋体"/>
                <w:color w:val="000000"/>
                <w:sz w:val="18"/>
                <w:szCs w:val="18"/>
              </w:rPr>
              <w:t>6.6.</w:t>
            </w:r>
            <w:r>
              <w:rPr>
                <w:rFonts w:hint="eastAsia" w:ascii="宋体" w:hAnsi="宋体" w:eastAsia="宋体" w:cs="宋体"/>
                <w:color w:val="000000"/>
                <w:sz w:val="18"/>
                <w:szCs w:val="18"/>
              </w:rPr>
              <w:t>4.2。</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《金属非金属矿山安全规程》</w:t>
            </w:r>
            <w:r>
              <w:rPr>
                <w:rFonts w:ascii="宋体" w:hAnsi="宋体" w:eastAsia="宋体" w:cs="宋体"/>
                <w:color w:val="000000"/>
                <w:sz w:val="18"/>
                <w:szCs w:val="18"/>
              </w:rPr>
              <w:t>6.6.</w:t>
            </w:r>
            <w:r>
              <w:rPr>
                <w:rFonts w:hint="eastAsia" w:ascii="宋体" w:hAnsi="宋体" w:eastAsia="宋体" w:cs="宋体"/>
                <w:color w:val="000000"/>
                <w:sz w:val="18"/>
                <w:szCs w:val="18"/>
              </w:rPr>
              <w:t>4.3。</w:t>
            </w:r>
          </w:p>
        </w:tc>
        <w:tc>
          <w:tcPr>
            <w:tcW w:w="2627" w:type="dxa"/>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ascii="宋体" w:hAnsi="宋体" w:eastAsia="宋体" w:cs="宋体"/>
                <w:color w:val="000000"/>
                <w:sz w:val="18"/>
                <w:szCs w:val="18"/>
              </w:rPr>
              <w:t>《安全生产法》第九十九条</w:t>
            </w:r>
            <w:r>
              <w:rPr>
                <w:rFonts w:hint="eastAsia" w:ascii="宋体" w:hAnsi="宋体" w:eastAsia="宋体" w:cs="宋体"/>
                <w:color w:val="000000"/>
                <w:sz w:val="18"/>
                <w:szCs w:val="18"/>
              </w:rPr>
              <w:t>。</w:t>
            </w:r>
          </w:p>
          <w:p>
            <w:pPr>
              <w:spacing w:line="240" w:lineRule="exact"/>
              <w:jc w:val="left"/>
              <w:rPr>
                <w:rFonts w:ascii="宋体" w:hAnsi="宋体" w:eastAsia="宋体"/>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sz w:val="18"/>
                <w:szCs w:val="18"/>
              </w:rPr>
              <w:t>《安全生产法》第九十六条第（三）项。</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《非煤矿矿山企业安全生产许可证实施办法》</w:t>
            </w:r>
            <w:r>
              <w:rPr>
                <w:rFonts w:ascii="宋体" w:hAnsi="宋体" w:eastAsia="宋体"/>
                <w:sz w:val="18"/>
                <w:szCs w:val="18"/>
              </w:rPr>
              <w:t>第四十条</w:t>
            </w:r>
            <w:r>
              <w:rPr>
                <w:rFonts w:hint="eastAsia"/>
                <w:sz w:val="18"/>
                <w:szCs w:val="18"/>
              </w:rPr>
              <w:t>。</w:t>
            </w:r>
          </w:p>
          <w:p>
            <w:pPr>
              <w:spacing w:line="240" w:lineRule="exact"/>
              <w:jc w:val="left"/>
              <w:rPr>
                <w:rFonts w:ascii="宋体" w:hAnsi="宋体" w:eastAsia="宋体"/>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4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④</w:t>
            </w:r>
            <w:r>
              <w:rPr>
                <w:rFonts w:ascii="宋体" w:hAnsi="宋体" w:eastAsia="宋体" w:cs="宋体"/>
                <w:color w:val="000000"/>
                <w:sz w:val="18"/>
                <w:szCs w:val="18"/>
              </w:rPr>
              <w:fldChar w:fldCharType="end"/>
            </w:r>
            <w:r>
              <w:rPr>
                <w:rFonts w:hint="eastAsia" w:ascii="宋体" w:hAnsi="宋体" w:eastAsia="宋体"/>
                <w:sz w:val="18"/>
                <w:szCs w:val="18"/>
              </w:rPr>
              <w:t>《安全生产法》第九十六条第（二）项。</w:t>
            </w:r>
          </w:p>
          <w:p>
            <w:pPr>
              <w:spacing w:line="240" w:lineRule="exact"/>
              <w:jc w:val="left"/>
              <w:rPr>
                <w:rFonts w:ascii="宋体" w:hAnsi="宋体" w:eastAsia="宋体" w:cs="宋体"/>
                <w:color w:val="000000"/>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5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⑤</w:t>
            </w:r>
            <w:r>
              <w:rPr>
                <w:rFonts w:ascii="宋体" w:hAnsi="宋体" w:eastAsia="宋体"/>
                <w:sz w:val="18"/>
                <w:szCs w:val="18"/>
              </w:rPr>
              <w:fldChar w:fldCharType="end"/>
            </w:r>
            <w:r>
              <w:rPr>
                <w:rFonts w:hint="eastAsia" w:ascii="宋体" w:hAnsi="宋体" w:eastAsia="宋体" w:cs="宋体"/>
                <w:color w:val="000000"/>
                <w:sz w:val="18"/>
                <w:szCs w:val="18"/>
              </w:rPr>
              <w:t>《安全生产法》第九十六条第（二）项。</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6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⑥</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《安全生产法》第一百零二条第（二）项。</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责令限期整改。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cs="宋体"/>
                <w:color w:val="000000"/>
                <w:sz w:val="18"/>
                <w:szCs w:val="18"/>
              </w:rPr>
            </w:pPr>
            <w:r>
              <w:rPr>
                <w:rFonts w:hint="eastAsia" w:ascii="宋体" w:hAnsi="宋体" w:eastAsia="宋体" w:cs="宋体"/>
                <w:color w:val="000000"/>
                <w:sz w:val="18"/>
                <w:szCs w:val="18"/>
              </w:rPr>
              <w:t>8</w:t>
            </w:r>
          </w:p>
        </w:tc>
        <w:tc>
          <w:tcPr>
            <w:tcW w:w="4432"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地面向井下供电的变压器或井下使用的普通变压器中性点是否接地；</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②无淹没危险小型矿山以外的矿山一级负荷是否采用双回路或双电源供电；</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③井下电缆敷设是否符合要求；</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④井下所有电气设备的金属外壳、电缆的配件、金属外皮、轨道中接近电缆线路的金属构筑物是否按规定接地；</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⑤主接地极数量及设置是否符合要求；</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⑥井下永久性中央变（配）电所硐室支护是否符合要求；</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是否按规定安装照明系统；</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8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⑧</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从井下中央变电所或采区配电所引出的低压馈出线，是否装设带有过电流保护的断路器；</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9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⑨</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井下变配电所高压馈出线，是否装设单相接地保护装置。</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（违反</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 xml:space="preserve">、②判定为重大事故隐患） </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查设计等技术资料，结合现场检查，询问相关人员。</w:t>
            </w:r>
          </w:p>
        </w:tc>
        <w:tc>
          <w:tcPr>
            <w:tcW w:w="2617"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《安全生产法》第三十八条第一款、《金属非金属矿山安全规程》</w:t>
            </w:r>
            <w:r>
              <w:rPr>
                <w:rFonts w:ascii="宋体" w:hAnsi="宋体" w:eastAsia="宋体" w:cs="宋体"/>
                <w:color w:val="000000"/>
                <w:sz w:val="18"/>
                <w:szCs w:val="18"/>
              </w:rPr>
              <w:t>6.</w:t>
            </w:r>
            <w:r>
              <w:rPr>
                <w:rFonts w:hint="eastAsia" w:ascii="宋体" w:hAnsi="宋体" w:eastAsia="宋体" w:cs="宋体"/>
                <w:color w:val="000000"/>
                <w:sz w:val="18"/>
                <w:szCs w:val="18"/>
              </w:rPr>
              <w:t>5</w:t>
            </w:r>
            <w:r>
              <w:rPr>
                <w:rFonts w:ascii="宋体" w:hAnsi="宋体" w:eastAsia="宋体" w:cs="宋体"/>
                <w:color w:val="000000"/>
                <w:sz w:val="18"/>
                <w:szCs w:val="18"/>
              </w:rPr>
              <w:t>.</w:t>
            </w:r>
            <w:r>
              <w:rPr>
                <w:rFonts w:hint="eastAsia" w:ascii="宋体" w:hAnsi="宋体" w:eastAsia="宋体" w:cs="宋体"/>
                <w:color w:val="000000"/>
                <w:sz w:val="18"/>
                <w:szCs w:val="18"/>
              </w:rPr>
              <w:t>1.4</w:t>
            </w:r>
            <w:r>
              <w:rPr>
                <w:rFonts w:ascii="宋体" w:hAnsi="宋体" w:eastAsia="宋体" w:cs="宋体"/>
                <w:color w:val="000000"/>
                <w:sz w:val="18"/>
                <w:szCs w:val="18"/>
              </w:rPr>
              <w:t>。</w:t>
            </w:r>
            <w:r>
              <w:rPr>
                <w:rFonts w:hint="eastAsia" w:ascii="宋体" w:hAnsi="宋体" w:eastAsia="宋体" w:cs="宋体"/>
                <w:color w:val="000000"/>
                <w:sz w:val="18"/>
                <w:szCs w:val="18"/>
              </w:rPr>
              <w:t>②《安全生产法》第三十八条第一款、《金属非金属矿山安全规程》</w:t>
            </w:r>
            <w:r>
              <w:rPr>
                <w:rFonts w:ascii="宋体" w:hAnsi="宋体" w:eastAsia="宋体" w:cs="宋体"/>
                <w:color w:val="000000"/>
                <w:sz w:val="18"/>
                <w:szCs w:val="18"/>
              </w:rPr>
              <w:t>6.</w:t>
            </w:r>
            <w:r>
              <w:rPr>
                <w:rFonts w:hint="eastAsia" w:ascii="宋体" w:hAnsi="宋体" w:eastAsia="宋体" w:cs="宋体"/>
                <w:color w:val="000000"/>
                <w:sz w:val="18"/>
                <w:szCs w:val="18"/>
              </w:rPr>
              <w:t>5</w:t>
            </w:r>
            <w:r>
              <w:rPr>
                <w:rFonts w:ascii="宋体" w:hAnsi="宋体" w:eastAsia="宋体" w:cs="宋体"/>
                <w:color w:val="000000"/>
                <w:sz w:val="18"/>
                <w:szCs w:val="18"/>
              </w:rPr>
              <w:t>.</w:t>
            </w:r>
            <w:r>
              <w:rPr>
                <w:rFonts w:hint="eastAsia" w:ascii="宋体" w:hAnsi="宋体" w:eastAsia="宋体" w:cs="宋体"/>
                <w:color w:val="000000"/>
                <w:sz w:val="18"/>
                <w:szCs w:val="18"/>
              </w:rPr>
              <w:t>1.3、《矿山电力设计规范》（GB50070-2009）2.0.4、2.0.21</w:t>
            </w:r>
            <w:r>
              <w:rPr>
                <w:rFonts w:ascii="宋体" w:hAnsi="宋体" w:eastAsia="宋体" w:cs="宋体"/>
                <w:color w:val="000000"/>
                <w:sz w:val="18"/>
                <w:szCs w:val="18"/>
              </w:rPr>
              <w:t>。</w:t>
            </w:r>
            <w:r>
              <w:rPr>
                <w:rFonts w:hint="eastAsia" w:ascii="宋体" w:hAnsi="宋体" w:eastAsia="宋体" w:cs="宋体"/>
                <w:color w:val="000000"/>
                <w:sz w:val="18"/>
                <w:szCs w:val="18"/>
              </w:rPr>
              <w:t>③《安全生产法》第三十八条第一款、《金属非金属矿山安全规程》</w:t>
            </w:r>
            <w:r>
              <w:rPr>
                <w:rFonts w:ascii="宋体" w:hAnsi="宋体" w:eastAsia="宋体" w:cs="宋体"/>
                <w:color w:val="000000"/>
                <w:sz w:val="18"/>
                <w:szCs w:val="18"/>
              </w:rPr>
              <w:t>6.</w:t>
            </w:r>
            <w:r>
              <w:rPr>
                <w:rFonts w:hint="eastAsia" w:ascii="宋体" w:hAnsi="宋体" w:eastAsia="宋体" w:cs="宋体"/>
                <w:color w:val="000000"/>
                <w:sz w:val="18"/>
                <w:szCs w:val="18"/>
              </w:rPr>
              <w:t>5</w:t>
            </w:r>
            <w:r>
              <w:rPr>
                <w:rFonts w:ascii="宋体" w:hAnsi="宋体" w:eastAsia="宋体" w:cs="宋体"/>
                <w:color w:val="000000"/>
                <w:sz w:val="18"/>
                <w:szCs w:val="18"/>
              </w:rPr>
              <w:t>.</w:t>
            </w:r>
            <w:r>
              <w:rPr>
                <w:rFonts w:hint="eastAsia" w:ascii="宋体" w:hAnsi="宋体" w:eastAsia="宋体" w:cs="宋体"/>
                <w:color w:val="000000"/>
                <w:sz w:val="18"/>
                <w:szCs w:val="18"/>
              </w:rPr>
              <w:t>2.6。④《安全生产法》第三十八条第一款、《金属非金属矿山安全规程》</w:t>
            </w:r>
            <w:r>
              <w:rPr>
                <w:rFonts w:ascii="宋体" w:hAnsi="宋体" w:eastAsia="宋体" w:cs="宋体"/>
                <w:color w:val="000000"/>
                <w:sz w:val="18"/>
                <w:szCs w:val="18"/>
              </w:rPr>
              <w:t>6.</w:t>
            </w:r>
            <w:r>
              <w:rPr>
                <w:rFonts w:hint="eastAsia" w:ascii="宋体" w:hAnsi="宋体" w:eastAsia="宋体" w:cs="宋体"/>
                <w:color w:val="000000"/>
                <w:sz w:val="18"/>
                <w:szCs w:val="18"/>
              </w:rPr>
              <w:t>5</w:t>
            </w:r>
            <w:r>
              <w:rPr>
                <w:rFonts w:ascii="宋体" w:hAnsi="宋体" w:eastAsia="宋体" w:cs="宋体"/>
                <w:color w:val="000000"/>
                <w:sz w:val="18"/>
                <w:szCs w:val="18"/>
              </w:rPr>
              <w:t>.</w:t>
            </w:r>
            <w:r>
              <w:rPr>
                <w:rFonts w:hint="eastAsia" w:ascii="宋体" w:hAnsi="宋体" w:eastAsia="宋体" w:cs="宋体"/>
                <w:color w:val="000000"/>
                <w:sz w:val="18"/>
                <w:szCs w:val="18"/>
              </w:rPr>
              <w:t>6.1。⑤《安全生产法》第三十八条第一款、《金属非金属矿山安全规程》</w:t>
            </w:r>
            <w:r>
              <w:rPr>
                <w:rFonts w:ascii="宋体" w:hAnsi="宋体" w:eastAsia="宋体" w:cs="宋体"/>
                <w:color w:val="000000"/>
                <w:sz w:val="18"/>
                <w:szCs w:val="18"/>
              </w:rPr>
              <w:t>6.</w:t>
            </w:r>
            <w:r>
              <w:rPr>
                <w:rFonts w:hint="eastAsia" w:ascii="宋体" w:hAnsi="宋体" w:eastAsia="宋体" w:cs="宋体"/>
                <w:color w:val="000000"/>
                <w:sz w:val="18"/>
                <w:szCs w:val="18"/>
              </w:rPr>
              <w:t>5</w:t>
            </w:r>
            <w:r>
              <w:rPr>
                <w:rFonts w:ascii="宋体" w:hAnsi="宋体" w:eastAsia="宋体" w:cs="宋体"/>
                <w:color w:val="000000"/>
                <w:sz w:val="18"/>
                <w:szCs w:val="18"/>
              </w:rPr>
              <w:t>.</w:t>
            </w:r>
            <w:r>
              <w:rPr>
                <w:rFonts w:hint="eastAsia" w:ascii="宋体" w:hAnsi="宋体" w:eastAsia="宋体" w:cs="宋体"/>
                <w:color w:val="000000"/>
                <w:sz w:val="18"/>
                <w:szCs w:val="18"/>
              </w:rPr>
              <w:t>6.5。⑥《安全生产法》第三十八条第一款、《金属非金属矿山安全规程》</w:t>
            </w:r>
            <w:r>
              <w:rPr>
                <w:rFonts w:ascii="宋体" w:hAnsi="宋体" w:eastAsia="宋体" w:cs="宋体"/>
                <w:color w:val="000000"/>
                <w:sz w:val="18"/>
                <w:szCs w:val="18"/>
              </w:rPr>
              <w:t>6.</w:t>
            </w:r>
            <w:r>
              <w:rPr>
                <w:rFonts w:hint="eastAsia" w:ascii="宋体" w:hAnsi="宋体" w:eastAsia="宋体" w:cs="宋体"/>
                <w:color w:val="000000"/>
                <w:sz w:val="18"/>
                <w:szCs w:val="18"/>
              </w:rPr>
              <w:t>5</w:t>
            </w:r>
            <w:r>
              <w:rPr>
                <w:rFonts w:ascii="宋体" w:hAnsi="宋体" w:eastAsia="宋体" w:cs="宋体"/>
                <w:color w:val="000000"/>
                <w:sz w:val="18"/>
                <w:szCs w:val="18"/>
              </w:rPr>
              <w:t>.</w:t>
            </w:r>
            <w:r>
              <w:rPr>
                <w:rFonts w:hint="eastAsia" w:ascii="宋体" w:hAnsi="宋体" w:eastAsia="宋体" w:cs="宋体"/>
                <w:color w:val="000000"/>
                <w:sz w:val="18"/>
                <w:szCs w:val="18"/>
              </w:rPr>
              <w:t>4.1。</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《安全生产法》第三十八条第一款、《金属非金属矿山安全规程》</w:t>
            </w:r>
            <w:r>
              <w:rPr>
                <w:rFonts w:ascii="宋体" w:hAnsi="宋体" w:eastAsia="宋体" w:cs="宋体"/>
                <w:color w:val="000000"/>
                <w:sz w:val="18"/>
                <w:szCs w:val="18"/>
              </w:rPr>
              <w:t>6.</w:t>
            </w:r>
            <w:r>
              <w:rPr>
                <w:rFonts w:hint="eastAsia" w:ascii="宋体" w:hAnsi="宋体" w:eastAsia="宋体" w:cs="宋体"/>
                <w:color w:val="000000"/>
                <w:sz w:val="18"/>
                <w:szCs w:val="18"/>
              </w:rPr>
              <w:t>5</w:t>
            </w:r>
            <w:r>
              <w:rPr>
                <w:rFonts w:ascii="宋体" w:hAnsi="宋体" w:eastAsia="宋体" w:cs="宋体"/>
                <w:color w:val="000000"/>
                <w:sz w:val="18"/>
                <w:szCs w:val="18"/>
              </w:rPr>
              <w:t>.</w:t>
            </w:r>
            <w:r>
              <w:rPr>
                <w:rFonts w:hint="eastAsia" w:ascii="宋体" w:hAnsi="宋体" w:eastAsia="宋体" w:cs="宋体"/>
                <w:color w:val="000000"/>
                <w:sz w:val="18"/>
                <w:szCs w:val="18"/>
              </w:rPr>
              <w:t>5.1、6.5.5.2。</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8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⑧</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《安全生产法》第三十三条第一款、《金属非金属矿山安全规程》</w:t>
            </w:r>
            <w:r>
              <w:rPr>
                <w:rFonts w:ascii="宋体" w:hAnsi="宋体" w:eastAsia="宋体" w:cs="宋体"/>
                <w:color w:val="000000"/>
                <w:sz w:val="18"/>
                <w:szCs w:val="18"/>
              </w:rPr>
              <w:t>6.</w:t>
            </w:r>
            <w:r>
              <w:rPr>
                <w:rFonts w:hint="eastAsia" w:ascii="宋体" w:hAnsi="宋体" w:eastAsia="宋体" w:cs="宋体"/>
                <w:color w:val="000000"/>
                <w:sz w:val="18"/>
                <w:szCs w:val="18"/>
              </w:rPr>
              <w:t>5</w:t>
            </w:r>
            <w:r>
              <w:rPr>
                <w:rFonts w:ascii="宋体" w:hAnsi="宋体" w:eastAsia="宋体" w:cs="宋体"/>
                <w:color w:val="000000"/>
                <w:sz w:val="18"/>
                <w:szCs w:val="18"/>
              </w:rPr>
              <w:t>.</w:t>
            </w:r>
            <w:r>
              <w:rPr>
                <w:rFonts w:hint="eastAsia" w:ascii="宋体" w:hAnsi="宋体" w:eastAsia="宋体" w:cs="宋体"/>
                <w:color w:val="000000"/>
                <w:sz w:val="18"/>
                <w:szCs w:val="18"/>
              </w:rPr>
              <w:t>3</w:t>
            </w:r>
            <w:r>
              <w:rPr>
                <w:rFonts w:ascii="宋体" w:hAnsi="宋体" w:eastAsia="宋体" w:cs="宋体"/>
                <w:color w:val="000000"/>
                <w:sz w:val="18"/>
                <w:szCs w:val="18"/>
              </w:rPr>
              <w:t>.</w:t>
            </w:r>
            <w:r>
              <w:rPr>
                <w:rFonts w:hint="eastAsia" w:ascii="宋体" w:hAnsi="宋体" w:eastAsia="宋体" w:cs="宋体"/>
                <w:color w:val="000000"/>
                <w:sz w:val="18"/>
                <w:szCs w:val="18"/>
              </w:rPr>
              <w:t>2</w:t>
            </w:r>
            <w:r>
              <w:rPr>
                <w:rFonts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9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⑨</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《安全生产法》第三十三条第一款、《金属非金属矿山安全规程》</w:t>
            </w:r>
            <w:r>
              <w:rPr>
                <w:rFonts w:ascii="宋体" w:hAnsi="宋体" w:eastAsia="宋体" w:cs="宋体"/>
                <w:color w:val="000000"/>
                <w:sz w:val="18"/>
                <w:szCs w:val="18"/>
              </w:rPr>
              <w:t>6.</w:t>
            </w:r>
            <w:r>
              <w:rPr>
                <w:rFonts w:hint="eastAsia" w:ascii="宋体" w:hAnsi="宋体" w:eastAsia="宋体" w:cs="宋体"/>
                <w:color w:val="000000"/>
                <w:sz w:val="18"/>
                <w:szCs w:val="18"/>
              </w:rPr>
              <w:t>5</w:t>
            </w:r>
            <w:r>
              <w:rPr>
                <w:rFonts w:ascii="宋体" w:hAnsi="宋体" w:eastAsia="宋体" w:cs="宋体"/>
                <w:color w:val="000000"/>
                <w:sz w:val="18"/>
                <w:szCs w:val="18"/>
              </w:rPr>
              <w:t>.</w:t>
            </w:r>
            <w:r>
              <w:rPr>
                <w:rFonts w:hint="eastAsia" w:ascii="宋体" w:hAnsi="宋体" w:eastAsia="宋体" w:cs="宋体"/>
                <w:color w:val="000000"/>
                <w:sz w:val="18"/>
                <w:szCs w:val="18"/>
              </w:rPr>
              <w:t>3</w:t>
            </w:r>
            <w:r>
              <w:rPr>
                <w:rFonts w:ascii="宋体" w:hAnsi="宋体" w:eastAsia="宋体" w:cs="宋体"/>
                <w:color w:val="000000"/>
                <w:sz w:val="18"/>
                <w:szCs w:val="18"/>
              </w:rPr>
              <w:t>.</w:t>
            </w:r>
            <w:r>
              <w:rPr>
                <w:rFonts w:hint="eastAsia" w:ascii="宋体" w:hAnsi="宋体" w:eastAsia="宋体" w:cs="宋体"/>
                <w:color w:val="000000"/>
                <w:sz w:val="18"/>
                <w:szCs w:val="18"/>
              </w:rPr>
              <w:t>4</w:t>
            </w:r>
            <w:r>
              <w:rPr>
                <w:rFonts w:ascii="宋体" w:hAnsi="宋体" w:eastAsia="宋体" w:cs="宋体"/>
                <w:color w:val="000000"/>
                <w:sz w:val="18"/>
                <w:szCs w:val="18"/>
              </w:rPr>
              <w:t>。</w:t>
            </w:r>
          </w:p>
        </w:tc>
        <w:tc>
          <w:tcPr>
            <w:tcW w:w="2627" w:type="dxa"/>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ascii="宋体" w:hAnsi="宋体" w:eastAsia="宋体" w:cs="宋体"/>
                <w:color w:val="000000"/>
                <w:sz w:val="18"/>
                <w:szCs w:val="18"/>
              </w:rPr>
              <w:t>《安全生产法》第九十九条</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ascii="宋体" w:hAnsi="宋体" w:eastAsia="宋体" w:cs="宋体"/>
                <w:color w:val="000000"/>
                <w:sz w:val="18"/>
                <w:szCs w:val="18"/>
              </w:rPr>
              <w:t>《安全生产法》第九十九条</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ascii="宋体" w:hAnsi="宋体" w:eastAsia="宋体" w:cs="宋体"/>
                <w:color w:val="000000"/>
                <w:sz w:val="18"/>
                <w:szCs w:val="18"/>
              </w:rPr>
              <w:t>《安全生产法》第九十九条</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4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④</w:t>
            </w:r>
            <w:r>
              <w:rPr>
                <w:rFonts w:ascii="宋体" w:hAnsi="宋体" w:eastAsia="宋体" w:cs="宋体"/>
                <w:color w:val="000000"/>
                <w:sz w:val="18"/>
                <w:szCs w:val="18"/>
              </w:rPr>
              <w:fldChar w:fldCharType="end"/>
            </w:r>
            <w:r>
              <w:rPr>
                <w:rFonts w:ascii="宋体" w:hAnsi="宋体" w:eastAsia="宋体" w:cs="宋体"/>
                <w:color w:val="000000"/>
                <w:sz w:val="18"/>
                <w:szCs w:val="18"/>
              </w:rPr>
              <w:t>《安全生产法》第九十九条</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ascii="宋体" w:hAnsi="宋体" w:eastAsia="宋体" w:cs="宋体"/>
                <w:color w:val="000000"/>
                <w:sz w:val="18"/>
                <w:szCs w:val="18"/>
              </w:rPr>
              <w:t>《安全生产法》第九十九条</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6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⑥</w:t>
            </w:r>
            <w:r>
              <w:rPr>
                <w:rFonts w:ascii="宋体" w:hAnsi="宋体" w:eastAsia="宋体" w:cs="宋体"/>
                <w:color w:val="000000"/>
                <w:sz w:val="18"/>
                <w:szCs w:val="18"/>
              </w:rPr>
              <w:fldChar w:fldCharType="end"/>
            </w:r>
            <w:r>
              <w:rPr>
                <w:rFonts w:ascii="宋体" w:hAnsi="宋体" w:eastAsia="宋体" w:cs="宋体"/>
                <w:color w:val="000000"/>
                <w:sz w:val="18"/>
                <w:szCs w:val="18"/>
              </w:rPr>
              <w:t>《安全生产法》第九十九条</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ascii="宋体" w:hAnsi="宋体" w:eastAsia="宋体" w:cs="宋体"/>
                <w:color w:val="000000"/>
                <w:sz w:val="18"/>
                <w:szCs w:val="18"/>
              </w:rPr>
              <w:t>《安全生产法》第九十九条</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8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⑧</w:t>
            </w:r>
            <w:r>
              <w:rPr>
                <w:rFonts w:ascii="宋体" w:hAnsi="宋体" w:eastAsia="宋体" w:cs="宋体"/>
                <w:color w:val="000000"/>
                <w:sz w:val="18"/>
                <w:szCs w:val="18"/>
              </w:rPr>
              <w:fldChar w:fldCharType="end"/>
            </w:r>
            <w:r>
              <w:rPr>
                <w:rFonts w:ascii="宋体" w:hAnsi="宋体" w:eastAsia="宋体" w:cs="宋体"/>
                <w:color w:val="000000"/>
                <w:sz w:val="18"/>
                <w:szCs w:val="18"/>
              </w:rPr>
              <w:t>《安全生产法》第九十六条第（二）项</w:t>
            </w:r>
            <w:r>
              <w:rPr>
                <w:rFonts w:hint="eastAsia"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9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⑨</w:t>
            </w:r>
            <w:r>
              <w:rPr>
                <w:rFonts w:ascii="宋体" w:hAnsi="宋体" w:eastAsia="宋体" w:cs="宋体"/>
                <w:color w:val="000000"/>
                <w:sz w:val="18"/>
                <w:szCs w:val="18"/>
              </w:rPr>
              <w:fldChar w:fldCharType="end"/>
            </w:r>
            <w:r>
              <w:rPr>
                <w:rFonts w:ascii="宋体" w:hAnsi="宋体" w:eastAsia="宋体" w:cs="宋体"/>
                <w:color w:val="000000"/>
                <w:sz w:val="18"/>
                <w:szCs w:val="18"/>
              </w:rPr>
              <w:t>《安全生产法》第九十六条第（二）项</w:t>
            </w:r>
            <w:r>
              <w:rPr>
                <w:rFonts w:hint="eastAsia" w:ascii="宋体" w:hAnsi="宋体" w:eastAsia="宋体" w:cs="宋体"/>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cs="宋体"/>
                <w:color w:val="000000"/>
                <w:sz w:val="18"/>
                <w:szCs w:val="18"/>
              </w:rPr>
            </w:pPr>
            <w:r>
              <w:rPr>
                <w:rFonts w:hint="eastAsia" w:ascii="宋体" w:hAnsi="宋体" w:eastAsia="宋体" w:cs="宋体"/>
                <w:color w:val="000000"/>
                <w:sz w:val="18"/>
                <w:szCs w:val="18"/>
              </w:rPr>
              <w:t>9</w:t>
            </w:r>
          </w:p>
        </w:tc>
        <w:tc>
          <w:tcPr>
            <w:tcW w:w="4432" w:type="dxa"/>
            <w:vAlign w:val="center"/>
          </w:tcPr>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 xml:space="preserve">①是否存在井下电机室、机修室、变压器室、变电所、炸药库和油库等主要硐室为可燃性材料建筑问题； </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②储放油类是否符合要求；</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③是否存在</w:t>
            </w:r>
            <w:r>
              <w:rPr>
                <w:rFonts w:ascii="宋体" w:hAnsi="宋体" w:eastAsia="宋体"/>
                <w:sz w:val="18"/>
                <w:szCs w:val="18"/>
              </w:rPr>
              <w:t>用火炉或明火加热井下空气</w:t>
            </w:r>
            <w:r>
              <w:rPr>
                <w:rFonts w:hint="eastAsia" w:ascii="宋体" w:hAnsi="宋体" w:eastAsia="宋体"/>
                <w:sz w:val="18"/>
                <w:szCs w:val="18"/>
              </w:rPr>
              <w:t>、</w:t>
            </w:r>
            <w:r>
              <w:rPr>
                <w:rFonts w:ascii="宋体" w:hAnsi="宋体" w:eastAsia="宋体"/>
                <w:sz w:val="18"/>
                <w:szCs w:val="18"/>
              </w:rPr>
              <w:t>明火烘烤冻结管路</w:t>
            </w:r>
            <w:r>
              <w:rPr>
                <w:rFonts w:hint="eastAsia" w:ascii="宋体" w:hAnsi="宋体" w:eastAsia="宋体"/>
                <w:sz w:val="18"/>
                <w:szCs w:val="18"/>
              </w:rPr>
              <w:t>、</w:t>
            </w:r>
            <w:r>
              <w:rPr>
                <w:rFonts w:hint="eastAsia" w:ascii="宋体" w:hAnsi="宋体" w:eastAsia="宋体" w:cs="宋体"/>
                <w:color w:val="000000"/>
                <w:sz w:val="18"/>
                <w:szCs w:val="18"/>
              </w:rPr>
              <w:t>使用电炉或电灯采暖等问题；</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④井下动火作业是否有专人监护，是否有安全措施。</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现场检查，并询问相关人员。</w:t>
            </w:r>
          </w:p>
        </w:tc>
        <w:tc>
          <w:tcPr>
            <w:tcW w:w="2617"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《安全生产法》第三十八条第一款、《金属非金属矿山安全规程》6.7.1.5。②《安全生产法》第三十六条第二款、《金属非金属矿山安全规程》6.7.1.6。③《金属非金属矿山安全规程》</w:t>
            </w:r>
            <w:r>
              <w:rPr>
                <w:rFonts w:ascii="宋体" w:hAnsi="宋体" w:eastAsia="宋体" w:cs="宋体"/>
                <w:color w:val="000000"/>
                <w:sz w:val="18"/>
                <w:szCs w:val="18"/>
              </w:rPr>
              <w:t>6.7.1.8</w:t>
            </w:r>
            <w:r>
              <w:rPr>
                <w:rFonts w:hint="eastAsia" w:ascii="宋体" w:hAnsi="宋体" w:eastAsia="宋体" w:cs="宋体"/>
                <w:color w:val="000000"/>
                <w:sz w:val="18"/>
                <w:szCs w:val="18"/>
              </w:rPr>
              <w:t>。④《安全生产违法行为行政处罚办法》</w:t>
            </w:r>
            <w:r>
              <w:rPr>
                <w:rFonts w:ascii="宋体" w:hAnsi="宋体" w:eastAsia="宋体" w:cs="宋体"/>
                <w:color w:val="000000"/>
                <w:sz w:val="18"/>
                <w:szCs w:val="18"/>
              </w:rPr>
              <w:t>第四十五条第（一）项</w:t>
            </w:r>
            <w:r>
              <w:rPr>
                <w:rFonts w:hint="eastAsia" w:ascii="宋体" w:hAnsi="宋体" w:eastAsia="宋体" w:cs="宋体"/>
                <w:color w:val="000000"/>
                <w:sz w:val="18"/>
                <w:szCs w:val="18"/>
              </w:rPr>
              <w:t>、《金属非金属矿山安全规程》6.7.1.10。</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ascii="宋体" w:hAnsi="宋体" w:eastAsia="宋体" w:cs="宋体"/>
                <w:color w:val="000000"/>
                <w:sz w:val="18"/>
                <w:szCs w:val="18"/>
              </w:rPr>
              <w:t>《安全生产法》第九十九条</w:t>
            </w:r>
            <w:r>
              <w:rPr>
                <w:rFonts w:hint="eastAsia" w:ascii="宋体" w:hAnsi="宋体" w:eastAsia="宋体" w:cs="宋体"/>
                <w:color w:val="000000"/>
                <w:sz w:val="18"/>
                <w:szCs w:val="18"/>
              </w:rPr>
              <w:t>。</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《安全生产法》第九十八条。</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责令立即整改。</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4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④</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《安全生产违法行为行政处罚办法》</w:t>
            </w:r>
            <w:r>
              <w:rPr>
                <w:rFonts w:ascii="宋体" w:hAnsi="宋体" w:eastAsia="宋体" w:cs="宋体"/>
                <w:color w:val="000000"/>
                <w:sz w:val="18"/>
                <w:szCs w:val="18"/>
              </w:rPr>
              <w:t>第四十五条第（一）项</w:t>
            </w:r>
            <w:r>
              <w:rPr>
                <w:rFonts w:hint="eastAsia" w:ascii="宋体" w:hAnsi="宋体" w:eastAsia="宋体" w:cs="宋体"/>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cs="宋体"/>
                <w:color w:val="000000"/>
                <w:sz w:val="18"/>
                <w:szCs w:val="18"/>
              </w:rPr>
            </w:pPr>
            <w:r>
              <w:rPr>
                <w:rFonts w:hint="eastAsia" w:ascii="宋体" w:hAnsi="宋体" w:cs="宋体"/>
                <w:color w:val="000000"/>
                <w:sz w:val="18"/>
                <w:szCs w:val="18"/>
              </w:rPr>
              <w:t>10</w:t>
            </w:r>
          </w:p>
        </w:tc>
        <w:tc>
          <w:tcPr>
            <w:tcW w:w="4432" w:type="dxa"/>
            <w:vAlign w:val="center"/>
          </w:tcPr>
          <w:p>
            <w:pPr>
              <w:spacing w:line="240" w:lineRule="exact"/>
              <w:rPr>
                <w:rFonts w:ascii="宋体" w:hAnsi="宋体" w:eastAsia="宋体"/>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1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①</w:t>
            </w:r>
            <w:r>
              <w:rPr>
                <w:rFonts w:ascii="宋体" w:hAnsi="宋体" w:eastAsia="宋体"/>
                <w:sz w:val="18"/>
                <w:szCs w:val="18"/>
              </w:rPr>
              <w:fldChar w:fldCharType="end"/>
            </w:r>
            <w:r>
              <w:rPr>
                <w:rFonts w:hint="eastAsia" w:ascii="宋体" w:hAnsi="宋体" w:eastAsia="宋体"/>
                <w:sz w:val="18"/>
                <w:szCs w:val="18"/>
              </w:rPr>
              <w:t>是否</w:t>
            </w:r>
            <w:r>
              <w:rPr>
                <w:rFonts w:ascii="宋体" w:hAnsi="宋体" w:eastAsia="宋体"/>
                <w:sz w:val="18"/>
                <w:szCs w:val="18"/>
              </w:rPr>
              <w:t>建立机械通风系统</w:t>
            </w:r>
            <w:r>
              <w:rPr>
                <w:rFonts w:hint="eastAsia" w:ascii="宋体" w:hAnsi="宋体" w:eastAsia="宋体"/>
                <w:sz w:val="18"/>
                <w:szCs w:val="18"/>
              </w:rPr>
              <w:t>；</w:t>
            </w:r>
          </w:p>
          <w:p>
            <w:pPr>
              <w:spacing w:line="240" w:lineRule="exact"/>
              <w:rPr>
                <w:rFonts w:ascii="宋体" w:hAnsi="宋体" w:eastAsia="宋体"/>
                <w:sz w:val="18"/>
                <w:szCs w:val="18"/>
              </w:rPr>
            </w:pPr>
            <w:r>
              <w:rPr>
                <w:rFonts w:hint="eastAsia" w:ascii="宋体" w:hAnsi="宋体" w:eastAsia="宋体" w:cs="宋体"/>
                <w:color w:val="000000"/>
                <w:sz w:val="18"/>
                <w:szCs w:val="18"/>
              </w:rPr>
              <w:t>②是否存在</w:t>
            </w:r>
            <w:r>
              <w:rPr>
                <w:rFonts w:hint="eastAsia" w:ascii="宋体" w:hAnsi="宋体" w:eastAsia="宋体"/>
                <w:sz w:val="18"/>
                <w:szCs w:val="18"/>
              </w:rPr>
              <w:t>主通风机未运行或长期故障问题；</w:t>
            </w:r>
          </w:p>
          <w:p>
            <w:pPr>
              <w:spacing w:line="240" w:lineRule="exact"/>
              <w:rPr>
                <w:rFonts w:ascii="宋体" w:hAnsi="宋体" w:eastAsia="宋体"/>
                <w:sz w:val="18"/>
                <w:szCs w:val="18"/>
              </w:rPr>
            </w:pPr>
            <w:r>
              <w:rPr>
                <w:rFonts w:hint="eastAsia" w:ascii="宋体" w:hAnsi="宋体" w:eastAsia="宋体"/>
                <w:sz w:val="18"/>
                <w:szCs w:val="18"/>
              </w:rPr>
              <w:t>③主通风机是否按规定配置备用电机及快速更换设施；</w:t>
            </w:r>
          </w:p>
          <w:p>
            <w:pPr>
              <w:spacing w:line="240" w:lineRule="exact"/>
              <w:rPr>
                <w:rFonts w:ascii="宋体" w:hAnsi="宋体" w:eastAsia="宋体"/>
                <w:sz w:val="18"/>
                <w:szCs w:val="18"/>
              </w:rPr>
            </w:pPr>
            <w:r>
              <w:rPr>
                <w:rFonts w:hint="eastAsia" w:ascii="宋体" w:hAnsi="宋体" w:eastAsia="宋体"/>
                <w:sz w:val="18"/>
                <w:szCs w:val="18"/>
              </w:rPr>
              <w:t>④是否定期检测矿井通风系统、风量，作业地点气象条件；</w:t>
            </w:r>
          </w:p>
          <w:p>
            <w:pPr>
              <w:spacing w:line="240" w:lineRule="exact"/>
              <w:rPr>
                <w:rFonts w:ascii="宋体" w:hAnsi="宋体" w:eastAsia="宋体"/>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5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⑤</w:t>
            </w:r>
            <w:r>
              <w:rPr>
                <w:rFonts w:ascii="宋体" w:hAnsi="宋体" w:eastAsia="宋体"/>
                <w:sz w:val="18"/>
                <w:szCs w:val="18"/>
              </w:rPr>
              <w:fldChar w:fldCharType="end"/>
            </w:r>
            <w:r>
              <w:rPr>
                <w:rFonts w:hint="eastAsia" w:ascii="宋体" w:hAnsi="宋体" w:eastAsia="宋体"/>
                <w:sz w:val="18"/>
                <w:szCs w:val="18"/>
              </w:rPr>
              <w:t>主通风机房是否按规定设置测量风压、风量、电流、电压和轴承温度等仪表；</w:t>
            </w:r>
          </w:p>
          <w:p>
            <w:pPr>
              <w:spacing w:line="240" w:lineRule="exact"/>
              <w:rPr>
                <w:rFonts w:ascii="宋体" w:hAnsi="宋体" w:eastAsia="宋体"/>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6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⑥</w:t>
            </w:r>
            <w:r>
              <w:rPr>
                <w:rFonts w:ascii="宋体" w:hAnsi="宋体" w:eastAsia="宋体"/>
                <w:sz w:val="18"/>
                <w:szCs w:val="18"/>
              </w:rPr>
              <w:fldChar w:fldCharType="end"/>
            </w:r>
            <w:r>
              <w:rPr>
                <w:rFonts w:hint="eastAsia" w:ascii="宋体" w:hAnsi="宋体" w:eastAsia="宋体"/>
                <w:sz w:val="18"/>
                <w:szCs w:val="18"/>
              </w:rPr>
              <w:t>掘进面和通风不良采场是否按规定安装局部通风设备；</w:t>
            </w:r>
          </w:p>
          <w:p>
            <w:pPr>
              <w:spacing w:line="240" w:lineRule="exact"/>
              <w:rPr>
                <w:rFonts w:ascii="宋体" w:hAnsi="宋体" w:eastAsia="宋体"/>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7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⑦</w:t>
            </w:r>
            <w:r>
              <w:rPr>
                <w:rFonts w:ascii="宋体" w:hAnsi="宋体" w:eastAsia="宋体"/>
                <w:sz w:val="18"/>
                <w:szCs w:val="18"/>
              </w:rPr>
              <w:fldChar w:fldCharType="end"/>
            </w:r>
            <w:r>
              <w:rPr>
                <w:rFonts w:hint="eastAsia" w:ascii="宋体" w:hAnsi="宋体" w:eastAsia="宋体"/>
                <w:sz w:val="18"/>
                <w:szCs w:val="18"/>
              </w:rPr>
              <w:t>独头工作面作业是否开启局部风机；</w:t>
            </w:r>
          </w:p>
          <w:p>
            <w:pPr>
              <w:spacing w:line="240" w:lineRule="exact"/>
              <w:rPr>
                <w:rFonts w:ascii="宋体" w:hAnsi="宋体" w:eastAsia="宋体"/>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8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⑧</w:t>
            </w:r>
            <w:r>
              <w:rPr>
                <w:rFonts w:ascii="宋体" w:hAnsi="宋体" w:eastAsia="宋体"/>
                <w:sz w:val="18"/>
                <w:szCs w:val="18"/>
              </w:rPr>
              <w:fldChar w:fldCharType="end"/>
            </w:r>
            <w:r>
              <w:rPr>
                <w:rFonts w:hint="eastAsia" w:ascii="宋体" w:hAnsi="宋体" w:eastAsia="宋体"/>
                <w:sz w:val="18"/>
                <w:szCs w:val="18"/>
              </w:rPr>
              <w:t>局部通风的风筒口距工作面距离是否符合规定。</w:t>
            </w:r>
          </w:p>
          <w:p>
            <w:pPr>
              <w:spacing w:line="240" w:lineRule="exact"/>
              <w:rPr>
                <w:rFonts w:ascii="宋体" w:hAnsi="宋体" w:eastAsia="宋体" w:cs="宋体"/>
                <w:color w:val="000000"/>
                <w:sz w:val="18"/>
                <w:szCs w:val="18"/>
              </w:rPr>
            </w:pPr>
            <w:r>
              <w:rPr>
                <w:rFonts w:hint="eastAsia" w:ascii="宋体" w:hAnsi="宋体" w:eastAsia="宋体"/>
                <w:sz w:val="18"/>
                <w:szCs w:val="18"/>
              </w:rPr>
              <w:t>（未</w:t>
            </w:r>
            <w:r>
              <w:rPr>
                <w:rFonts w:ascii="宋体" w:hAnsi="宋体" w:eastAsia="宋体"/>
                <w:sz w:val="18"/>
                <w:szCs w:val="18"/>
              </w:rPr>
              <w:t>建立机械通风系统</w:t>
            </w:r>
            <w:r>
              <w:rPr>
                <w:rFonts w:hint="eastAsia" w:ascii="宋体" w:hAnsi="宋体" w:eastAsia="宋体" w:cs="宋体"/>
                <w:color w:val="000000"/>
                <w:sz w:val="18"/>
                <w:szCs w:val="18"/>
              </w:rPr>
              <w:t>判定为重大事故隐患</w:t>
            </w:r>
            <w:r>
              <w:rPr>
                <w:rFonts w:hint="eastAsia" w:ascii="宋体" w:hAnsi="宋体" w:eastAsia="宋体"/>
                <w:sz w:val="18"/>
                <w:szCs w:val="18"/>
              </w:rPr>
              <w:t>）</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查设计、主扇风机运行记录，通风系统、风量、作业地点气象条件检测记录，现场检查、勘验结合询问有关人员等。</w:t>
            </w:r>
          </w:p>
        </w:tc>
        <w:tc>
          <w:tcPr>
            <w:tcW w:w="2617" w:type="dxa"/>
            <w:vAlign w:val="center"/>
          </w:tcPr>
          <w:p>
            <w:pPr>
              <w:spacing w:line="240" w:lineRule="exact"/>
              <w:jc w:val="left"/>
              <w:rPr>
                <w:rFonts w:ascii="宋体" w:hAnsi="宋体" w:eastAsia="宋体" w:cs="宋体"/>
                <w:color w:val="000000"/>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1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①</w:t>
            </w:r>
            <w:r>
              <w:rPr>
                <w:rFonts w:ascii="宋体" w:hAnsi="宋体" w:eastAsia="宋体"/>
                <w:sz w:val="18"/>
                <w:szCs w:val="18"/>
              </w:rPr>
              <w:fldChar w:fldCharType="end"/>
            </w:r>
            <w:r>
              <w:rPr>
                <w:rFonts w:hint="eastAsia" w:ascii="宋体" w:hAnsi="宋体" w:eastAsia="宋体"/>
                <w:sz w:val="18"/>
                <w:szCs w:val="18"/>
              </w:rPr>
              <w:t>《非煤矿矿山企业安全生产许可证实施办法》</w:t>
            </w:r>
            <w:r>
              <w:rPr>
                <w:rFonts w:ascii="宋体" w:hAnsi="宋体" w:eastAsia="宋体"/>
                <w:sz w:val="18"/>
                <w:szCs w:val="18"/>
              </w:rPr>
              <w:t>、《金属非金属矿山安全规程》6.</w:t>
            </w:r>
            <w:r>
              <w:rPr>
                <w:rFonts w:hint="eastAsia" w:ascii="宋体" w:hAnsi="宋体" w:eastAsia="宋体"/>
                <w:sz w:val="18"/>
                <w:szCs w:val="18"/>
              </w:rPr>
              <w:t>4</w:t>
            </w:r>
            <w:r>
              <w:rPr>
                <w:rFonts w:ascii="宋体" w:hAnsi="宋体" w:eastAsia="宋体"/>
                <w:sz w:val="18"/>
                <w:szCs w:val="18"/>
              </w:rPr>
              <w:t>.2.1</w:t>
            </w:r>
            <w:r>
              <w:rPr>
                <w:rFonts w:hint="eastAsia" w:ascii="宋体" w:hAnsi="宋体" w:eastAsia="宋体"/>
                <w:sz w:val="18"/>
                <w:szCs w:val="18"/>
              </w:rPr>
              <w:t>。</w:t>
            </w:r>
            <w:r>
              <w:rPr>
                <w:rFonts w:hint="eastAsia" w:ascii="宋体" w:hAnsi="宋体" w:eastAsia="宋体" w:cs="宋体"/>
                <w:color w:val="000000"/>
                <w:sz w:val="18"/>
                <w:szCs w:val="18"/>
              </w:rPr>
              <w:t>②《安全生产法》第三十三条第一款、《金属非金属矿山安全规程》</w:t>
            </w:r>
            <w:r>
              <w:rPr>
                <w:rFonts w:ascii="宋体" w:hAnsi="宋体" w:eastAsia="宋体" w:cs="宋体"/>
                <w:color w:val="000000"/>
                <w:sz w:val="18"/>
                <w:szCs w:val="18"/>
              </w:rPr>
              <w:t>6.</w:t>
            </w:r>
            <w:r>
              <w:rPr>
                <w:rFonts w:hint="eastAsia" w:ascii="宋体" w:hAnsi="宋体" w:eastAsia="宋体" w:cs="宋体"/>
                <w:color w:val="000000"/>
                <w:sz w:val="18"/>
                <w:szCs w:val="18"/>
              </w:rPr>
              <w:t>4</w:t>
            </w:r>
            <w:r>
              <w:rPr>
                <w:rFonts w:ascii="宋体" w:hAnsi="宋体" w:eastAsia="宋体" w:cs="宋体"/>
                <w:color w:val="000000"/>
                <w:sz w:val="18"/>
                <w:szCs w:val="18"/>
              </w:rPr>
              <w:t>.</w:t>
            </w:r>
            <w:r>
              <w:rPr>
                <w:rFonts w:hint="eastAsia" w:ascii="宋体" w:hAnsi="宋体" w:eastAsia="宋体" w:cs="宋体"/>
                <w:color w:val="000000"/>
                <w:sz w:val="18"/>
                <w:szCs w:val="18"/>
              </w:rPr>
              <w:t>3</w:t>
            </w:r>
            <w:r>
              <w:rPr>
                <w:rFonts w:ascii="宋体" w:hAnsi="宋体" w:eastAsia="宋体" w:cs="宋体"/>
                <w:color w:val="000000"/>
                <w:sz w:val="18"/>
                <w:szCs w:val="18"/>
              </w:rPr>
              <w:t>.</w:t>
            </w:r>
            <w:r>
              <w:rPr>
                <w:rFonts w:hint="eastAsia" w:ascii="宋体" w:hAnsi="宋体" w:eastAsia="宋体" w:cs="宋体"/>
                <w:color w:val="000000"/>
                <w:sz w:val="18"/>
                <w:szCs w:val="18"/>
              </w:rPr>
              <w:t>1。③《安全生产法》第三十三条第一款、《金属非金属矿山安全规程》</w:t>
            </w:r>
            <w:r>
              <w:rPr>
                <w:rFonts w:ascii="宋体" w:hAnsi="宋体" w:eastAsia="宋体" w:cs="宋体"/>
                <w:color w:val="000000"/>
                <w:sz w:val="18"/>
                <w:szCs w:val="18"/>
              </w:rPr>
              <w:t>6.4.3.</w:t>
            </w:r>
            <w:r>
              <w:rPr>
                <w:rFonts w:hint="eastAsia" w:ascii="宋体" w:hAnsi="宋体" w:eastAsia="宋体" w:cs="宋体"/>
                <w:color w:val="000000"/>
                <w:sz w:val="18"/>
                <w:szCs w:val="18"/>
              </w:rPr>
              <w:t>2</w:t>
            </w:r>
            <w:r>
              <w:rPr>
                <w:rFonts w:ascii="宋体" w:hAnsi="宋体" w:eastAsia="宋体" w:cs="宋体"/>
                <w:color w:val="000000"/>
                <w:sz w:val="18"/>
                <w:szCs w:val="18"/>
              </w:rPr>
              <w:t>。</w:t>
            </w:r>
            <w:r>
              <w:rPr>
                <w:rFonts w:hint="eastAsia" w:ascii="宋体" w:hAnsi="宋体" w:eastAsia="宋体" w:cs="宋体"/>
                <w:color w:val="000000"/>
                <w:sz w:val="18"/>
                <w:szCs w:val="18"/>
              </w:rPr>
              <w:t>④《金属非金属地下矿山通风技术规范》（AQ2013.4-2008）4.2.6.1、4.2.6.2。⑤《安全生产法》第三十三条第一款、《金属非金属矿山安全规程》</w:t>
            </w:r>
            <w:r>
              <w:rPr>
                <w:rFonts w:ascii="宋体" w:hAnsi="宋体" w:eastAsia="宋体" w:cs="宋体"/>
                <w:color w:val="000000"/>
                <w:sz w:val="18"/>
                <w:szCs w:val="18"/>
              </w:rPr>
              <w:t>6.4.</w:t>
            </w:r>
            <w:r>
              <w:rPr>
                <w:rFonts w:hint="eastAsia" w:ascii="宋体" w:hAnsi="宋体" w:eastAsia="宋体" w:cs="宋体"/>
                <w:color w:val="000000"/>
                <w:sz w:val="18"/>
                <w:szCs w:val="18"/>
              </w:rPr>
              <w:t>3</w:t>
            </w:r>
            <w:r>
              <w:rPr>
                <w:rFonts w:ascii="宋体" w:hAnsi="宋体" w:eastAsia="宋体" w:cs="宋体"/>
                <w:color w:val="000000"/>
                <w:sz w:val="18"/>
                <w:szCs w:val="18"/>
              </w:rPr>
              <w:t>.</w:t>
            </w:r>
            <w:r>
              <w:rPr>
                <w:rFonts w:hint="eastAsia" w:ascii="宋体" w:hAnsi="宋体" w:eastAsia="宋体" w:cs="宋体"/>
                <w:color w:val="000000"/>
                <w:sz w:val="18"/>
                <w:szCs w:val="18"/>
              </w:rPr>
              <w:t>4。⑥《安全生产法》第三十三条第一款、《金属非金属矿山安全规程》</w:t>
            </w:r>
            <w:r>
              <w:rPr>
                <w:rFonts w:ascii="宋体" w:hAnsi="宋体" w:eastAsia="宋体" w:cs="宋体"/>
                <w:color w:val="000000"/>
                <w:sz w:val="18"/>
                <w:szCs w:val="18"/>
              </w:rPr>
              <w:t>6.4.</w:t>
            </w:r>
            <w:r>
              <w:rPr>
                <w:rFonts w:hint="eastAsia" w:ascii="宋体" w:hAnsi="宋体" w:eastAsia="宋体" w:cs="宋体"/>
                <w:color w:val="000000"/>
                <w:sz w:val="18"/>
                <w:szCs w:val="18"/>
              </w:rPr>
              <w:t>4</w:t>
            </w:r>
            <w:r>
              <w:rPr>
                <w:rFonts w:ascii="宋体" w:hAnsi="宋体" w:eastAsia="宋体" w:cs="宋体"/>
                <w:color w:val="000000"/>
                <w:sz w:val="18"/>
                <w:szCs w:val="18"/>
              </w:rPr>
              <w:t>.</w:t>
            </w:r>
            <w:r>
              <w:rPr>
                <w:rFonts w:hint="eastAsia" w:ascii="宋体" w:hAnsi="宋体" w:eastAsia="宋体" w:cs="宋体"/>
                <w:color w:val="000000"/>
                <w:sz w:val="18"/>
                <w:szCs w:val="18"/>
              </w:rPr>
              <w:t>1。</w:t>
            </w: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7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⑦</w:t>
            </w:r>
            <w:r>
              <w:rPr>
                <w:rFonts w:ascii="宋体" w:hAnsi="宋体" w:eastAsia="宋体"/>
                <w:sz w:val="18"/>
                <w:szCs w:val="18"/>
              </w:rPr>
              <w:fldChar w:fldCharType="end"/>
            </w:r>
            <w:r>
              <w:rPr>
                <w:rFonts w:hint="eastAsia" w:ascii="宋体" w:hAnsi="宋体" w:eastAsia="宋体" w:cs="宋体"/>
                <w:color w:val="000000"/>
                <w:sz w:val="18"/>
                <w:szCs w:val="18"/>
              </w:rPr>
              <w:t>《安全生产违法行为行政处罚办法》</w:t>
            </w:r>
            <w:r>
              <w:rPr>
                <w:rFonts w:ascii="宋体" w:hAnsi="宋体" w:eastAsia="宋体" w:cs="宋体"/>
                <w:color w:val="000000"/>
                <w:sz w:val="18"/>
                <w:szCs w:val="18"/>
              </w:rPr>
              <w:t>第四十五条第（一）项</w:t>
            </w:r>
            <w:r>
              <w:rPr>
                <w:rFonts w:hint="eastAsia" w:ascii="宋体" w:hAnsi="宋体" w:eastAsia="宋体" w:cs="宋体"/>
                <w:color w:val="000000"/>
                <w:sz w:val="18"/>
                <w:szCs w:val="18"/>
              </w:rPr>
              <w:t>、《金属非金属矿山安全规程》</w:t>
            </w:r>
            <w:r>
              <w:rPr>
                <w:rFonts w:ascii="宋体" w:hAnsi="宋体" w:eastAsia="宋体" w:cs="宋体"/>
                <w:color w:val="000000"/>
                <w:sz w:val="18"/>
                <w:szCs w:val="18"/>
              </w:rPr>
              <w:t>6.4.</w:t>
            </w:r>
            <w:r>
              <w:rPr>
                <w:rFonts w:hint="eastAsia" w:ascii="宋体" w:hAnsi="宋体" w:eastAsia="宋体" w:cs="宋体"/>
                <w:color w:val="000000"/>
                <w:sz w:val="18"/>
                <w:szCs w:val="18"/>
              </w:rPr>
              <w:t>4</w:t>
            </w:r>
            <w:r>
              <w:rPr>
                <w:rFonts w:ascii="宋体" w:hAnsi="宋体" w:eastAsia="宋体" w:cs="宋体"/>
                <w:color w:val="000000"/>
                <w:sz w:val="18"/>
                <w:szCs w:val="18"/>
              </w:rPr>
              <w:t>.</w:t>
            </w:r>
            <w:r>
              <w:rPr>
                <w:rFonts w:hint="eastAsia" w:ascii="宋体" w:hAnsi="宋体" w:eastAsia="宋体" w:cs="宋体"/>
                <w:color w:val="000000"/>
                <w:sz w:val="18"/>
                <w:szCs w:val="18"/>
              </w:rPr>
              <w:t>3。⑧检查依据《金属非金属矿山安全规程》</w:t>
            </w:r>
            <w:r>
              <w:rPr>
                <w:rFonts w:ascii="宋体" w:hAnsi="宋体" w:eastAsia="宋体" w:cs="宋体"/>
                <w:color w:val="000000"/>
                <w:sz w:val="18"/>
                <w:szCs w:val="18"/>
              </w:rPr>
              <w:t>6.4.4.</w:t>
            </w:r>
            <w:r>
              <w:rPr>
                <w:rFonts w:hint="eastAsia" w:ascii="宋体" w:hAnsi="宋体" w:eastAsia="宋体" w:cs="宋体"/>
                <w:color w:val="000000"/>
                <w:sz w:val="18"/>
                <w:szCs w:val="18"/>
              </w:rPr>
              <w:t>2</w:t>
            </w:r>
            <w:r>
              <w:rPr>
                <w:rFonts w:ascii="宋体" w:hAnsi="宋体" w:eastAsia="宋体" w:cs="宋体"/>
                <w:color w:val="000000"/>
                <w:sz w:val="18"/>
                <w:szCs w:val="18"/>
              </w:rPr>
              <w:t>，</w:t>
            </w:r>
            <w:r>
              <w:rPr>
                <w:rFonts w:hint="eastAsia" w:ascii="宋体" w:hAnsi="宋体" w:eastAsia="宋体" w:cs="宋体"/>
                <w:color w:val="000000"/>
                <w:sz w:val="18"/>
                <w:szCs w:val="18"/>
              </w:rPr>
              <w:t>责令限期整改。</w:t>
            </w:r>
          </w:p>
        </w:tc>
        <w:tc>
          <w:tcPr>
            <w:tcW w:w="2627" w:type="dxa"/>
            <w:vAlign w:val="center"/>
          </w:tcPr>
          <w:p>
            <w:pPr>
              <w:spacing w:line="240" w:lineRule="exact"/>
              <w:rPr>
                <w:rFonts w:ascii="宋体" w:hAnsi="宋体" w:eastAsia="宋体"/>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1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①</w:t>
            </w:r>
            <w:r>
              <w:rPr>
                <w:rFonts w:ascii="宋体" w:hAnsi="宋体" w:eastAsia="宋体"/>
                <w:sz w:val="18"/>
                <w:szCs w:val="18"/>
              </w:rPr>
              <w:fldChar w:fldCharType="end"/>
            </w:r>
            <w:r>
              <w:rPr>
                <w:rFonts w:ascii="宋体" w:hAnsi="宋体" w:eastAsia="宋体"/>
                <w:sz w:val="18"/>
                <w:szCs w:val="18"/>
              </w:rPr>
              <w:t>《非煤矿矿山企业安全生产许可证实施办法》第四十条。</w:t>
            </w:r>
          </w:p>
          <w:p>
            <w:pPr>
              <w:spacing w:line="240" w:lineRule="exact"/>
              <w:rPr>
                <w:rFonts w:ascii="宋体" w:hAnsi="宋体" w:eastAsia="宋体" w:cs="宋体"/>
                <w:color w:val="000000"/>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2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②</w:t>
            </w:r>
            <w:r>
              <w:rPr>
                <w:rFonts w:ascii="宋体" w:hAnsi="宋体" w:eastAsia="宋体"/>
                <w:sz w:val="18"/>
                <w:szCs w:val="18"/>
              </w:rPr>
              <w:fldChar w:fldCharType="end"/>
            </w:r>
            <w:r>
              <w:rPr>
                <w:rFonts w:hint="eastAsia" w:ascii="宋体" w:hAnsi="宋体" w:eastAsia="宋体" w:cs="宋体"/>
                <w:color w:val="000000"/>
                <w:sz w:val="18"/>
                <w:szCs w:val="18"/>
              </w:rPr>
              <w:t>《安全生产法》第九十六条第（二）项。</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ascii="宋体" w:hAnsi="宋体" w:eastAsia="宋体" w:cs="宋体"/>
                <w:color w:val="000000"/>
                <w:sz w:val="18"/>
                <w:szCs w:val="18"/>
              </w:rPr>
              <w:t>《安全生产法》第九十六条第（二）项</w:t>
            </w:r>
            <w:r>
              <w:rPr>
                <w:rFonts w:hint="eastAsia" w:ascii="宋体" w:hAnsi="宋体" w:eastAsia="宋体" w:cs="宋体"/>
                <w:color w:val="000000"/>
                <w:sz w:val="18"/>
                <w:szCs w:val="18"/>
              </w:rPr>
              <w:t>。</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4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④</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责令限期整改。</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5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⑤</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《安全生产法》第九十六条第（二）项。</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6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⑥</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《安全生产法》第九十六条第（二）项。</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《安全生产违法行为行政处罚办法》</w:t>
            </w:r>
            <w:r>
              <w:rPr>
                <w:rFonts w:ascii="宋体" w:hAnsi="宋体" w:eastAsia="宋体" w:cs="宋体"/>
                <w:color w:val="000000"/>
                <w:sz w:val="18"/>
                <w:szCs w:val="18"/>
              </w:rPr>
              <w:t>四十五条第（一）项</w:t>
            </w:r>
            <w:r>
              <w:rPr>
                <w:rFonts w:hint="eastAsia" w:ascii="宋体" w:hAnsi="宋体" w:eastAsia="宋体" w:cs="宋体"/>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cs="宋体"/>
                <w:color w:val="000000"/>
                <w:sz w:val="18"/>
                <w:szCs w:val="18"/>
              </w:rPr>
            </w:pPr>
            <w:r>
              <w:rPr>
                <w:rFonts w:hint="eastAsia" w:ascii="宋体" w:hAnsi="宋体" w:cs="宋体"/>
                <w:color w:val="000000"/>
                <w:sz w:val="18"/>
                <w:szCs w:val="18"/>
              </w:rPr>
              <w:t>11</w:t>
            </w:r>
          </w:p>
        </w:tc>
        <w:tc>
          <w:tcPr>
            <w:tcW w:w="4432" w:type="dxa"/>
            <w:vAlign w:val="center"/>
          </w:tcPr>
          <w:p>
            <w:pPr>
              <w:spacing w:line="240" w:lineRule="exact"/>
              <w:rPr>
                <w:sz w:val="18"/>
                <w:szCs w:val="18"/>
              </w:rPr>
            </w:pPr>
            <w:r>
              <w:rPr>
                <w:rFonts w:hint="eastAsia"/>
                <w:sz w:val="18"/>
                <w:szCs w:val="18"/>
              </w:rPr>
              <w:t>①</w:t>
            </w:r>
            <w:r>
              <w:rPr>
                <w:rFonts w:hint="eastAsia" w:ascii="宋体" w:hAnsi="宋体" w:eastAsia="宋体"/>
                <w:sz w:val="18"/>
                <w:szCs w:val="18"/>
              </w:rPr>
              <w:t>报废的井巷和硐室的入口是否设有明显标志；</w:t>
            </w:r>
          </w:p>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②地下矿山天井、溜井、地井和漏斗口是否设有安全标志；</w:t>
            </w:r>
          </w:p>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③停止作业并已拆除通风设备而又无贯穿风流通风的采场、独头上山或较长的独头巷道是否设安全警示标志；</w:t>
            </w:r>
          </w:p>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④电气设备控制硐室入口、高压电气设备是否设安全警示标志；</w:t>
            </w:r>
          </w:p>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⑤主要进风巷道、进风井筒及其井架和井口建筑物，主要扇风机房和压入式辅助扇风机房，风硐及暖风道，井下电机室、机修室、变压器室、变电所、电机车库、油库等，室内是否按规定设置安全警示标志；</w:t>
            </w:r>
          </w:p>
          <w:p>
            <w:pPr>
              <w:spacing w:line="240" w:lineRule="exact"/>
              <w:rPr>
                <w:rFonts w:ascii="宋体" w:hAnsi="宋体" w:eastAsia="宋体"/>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6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⑥</w:t>
            </w:r>
            <w:r>
              <w:rPr>
                <w:rFonts w:ascii="宋体" w:hAnsi="宋体" w:eastAsia="宋体"/>
                <w:sz w:val="18"/>
                <w:szCs w:val="18"/>
              </w:rPr>
              <w:fldChar w:fldCharType="end"/>
            </w:r>
            <w:r>
              <w:rPr>
                <w:rFonts w:hint="eastAsia" w:ascii="宋体" w:hAnsi="宋体" w:eastAsia="宋体"/>
                <w:sz w:val="18"/>
                <w:szCs w:val="18"/>
              </w:rPr>
              <w:t>井巷的分道口是否有安全标志；</w:t>
            </w:r>
          </w:p>
          <w:p>
            <w:pPr>
              <w:spacing w:line="240" w:lineRule="exact"/>
              <w:rPr>
                <w:rFonts w:ascii="宋体" w:hAnsi="宋体" w:eastAsia="宋体"/>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7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⑦</w:t>
            </w:r>
            <w:r>
              <w:rPr>
                <w:rFonts w:ascii="宋体" w:hAnsi="宋体" w:eastAsia="宋体"/>
                <w:sz w:val="18"/>
                <w:szCs w:val="18"/>
              </w:rPr>
              <w:fldChar w:fldCharType="end"/>
            </w:r>
            <w:r>
              <w:rPr>
                <w:rFonts w:hint="eastAsia" w:ascii="宋体" w:hAnsi="宋体" w:eastAsia="宋体"/>
                <w:sz w:val="18"/>
                <w:szCs w:val="18"/>
              </w:rPr>
              <w:t>地表塌陷区是否设安全警示标志；</w:t>
            </w:r>
          </w:p>
          <w:p>
            <w:pPr>
              <w:spacing w:line="240" w:lineRule="exact"/>
              <w:rPr>
                <w:rFonts w:ascii="宋体" w:hAnsi="宋体" w:eastAsia="宋体" w:cs="宋体"/>
                <w:color w:val="000000"/>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8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⑧</w:t>
            </w:r>
            <w:r>
              <w:rPr>
                <w:rFonts w:ascii="宋体" w:hAnsi="宋体" w:eastAsia="宋体"/>
                <w:sz w:val="18"/>
                <w:szCs w:val="18"/>
              </w:rPr>
              <w:fldChar w:fldCharType="end"/>
            </w:r>
            <w:r>
              <w:rPr>
                <w:rFonts w:ascii="宋体" w:hAnsi="宋体" w:eastAsia="宋体" w:cs="宋体"/>
                <w:color w:val="000000"/>
                <w:sz w:val="18"/>
                <w:szCs w:val="18"/>
              </w:rPr>
              <w:t>紧急避险设施</w:t>
            </w:r>
            <w:r>
              <w:rPr>
                <w:rFonts w:hint="eastAsia" w:ascii="宋体" w:hAnsi="宋体" w:eastAsia="宋体" w:cs="宋体"/>
                <w:color w:val="000000"/>
                <w:sz w:val="18"/>
                <w:szCs w:val="18"/>
              </w:rPr>
              <w:t>外、入口处是否有安全警示标志；</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9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⑨</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其他有较大危险因素的生产经营场所和有关设施、设备上是否设置明显的安全警示标志。</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查看设计、图纸等相关资料，现场查看。</w:t>
            </w:r>
          </w:p>
        </w:tc>
        <w:tc>
          <w:tcPr>
            <w:tcW w:w="2617" w:type="dxa"/>
            <w:vAlign w:val="center"/>
          </w:tcPr>
          <w:p>
            <w:pPr>
              <w:spacing w:line="240" w:lineRule="exact"/>
              <w:jc w:val="left"/>
              <w:rPr>
                <w:rFonts w:ascii="宋体" w:hAnsi="宋体" w:eastAsia="宋体"/>
                <w:sz w:val="18"/>
                <w:szCs w:val="18"/>
              </w:rPr>
            </w:pPr>
            <w:r>
              <w:rPr>
                <w:rFonts w:hint="eastAsia"/>
                <w:sz w:val="18"/>
                <w:szCs w:val="18"/>
              </w:rPr>
              <w:t>①-</w:t>
            </w: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7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⑦</w:t>
            </w:r>
            <w:r>
              <w:rPr>
                <w:rFonts w:ascii="宋体" w:hAnsi="宋体" w:eastAsia="宋体"/>
                <w:sz w:val="18"/>
                <w:szCs w:val="18"/>
              </w:rPr>
              <w:fldChar w:fldCharType="end"/>
            </w:r>
            <w:r>
              <w:rPr>
                <w:rFonts w:hint="eastAsia" w:ascii="宋体" w:hAnsi="宋体" w:eastAsia="宋体" w:cs="宋体"/>
                <w:color w:val="000000"/>
                <w:sz w:val="18"/>
                <w:szCs w:val="18"/>
              </w:rPr>
              <w:t>《安全生产法》第三十二条、《金属非金属矿山安全规程》</w:t>
            </w:r>
            <w:r>
              <w:rPr>
                <w:rFonts w:ascii="宋体" w:hAnsi="宋体" w:eastAsia="宋体" w:cs="宋体"/>
                <w:color w:val="000000"/>
                <w:sz w:val="18"/>
                <w:szCs w:val="18"/>
              </w:rPr>
              <w:t>6.1.6.5</w:t>
            </w:r>
            <w:r>
              <w:rPr>
                <w:rFonts w:hint="eastAsia" w:ascii="宋体" w:hAnsi="宋体" w:eastAsia="宋体" w:cs="宋体"/>
                <w:color w:val="000000"/>
                <w:sz w:val="18"/>
                <w:szCs w:val="18"/>
              </w:rPr>
              <w:t>、</w:t>
            </w:r>
            <w:r>
              <w:rPr>
                <w:rFonts w:ascii="宋体" w:hAnsi="宋体" w:eastAsia="宋体" w:cs="宋体"/>
                <w:color w:val="000000"/>
                <w:sz w:val="18"/>
                <w:szCs w:val="18"/>
              </w:rPr>
              <w:t>6.1.7.2</w:t>
            </w:r>
            <w:r>
              <w:rPr>
                <w:rFonts w:hint="eastAsia" w:ascii="宋体" w:hAnsi="宋体" w:eastAsia="宋体" w:cs="宋体"/>
                <w:color w:val="000000"/>
                <w:sz w:val="18"/>
                <w:szCs w:val="18"/>
              </w:rPr>
              <w:t>、</w:t>
            </w:r>
            <w:r>
              <w:rPr>
                <w:rFonts w:ascii="宋体" w:hAnsi="宋体" w:eastAsia="宋体" w:cs="宋体"/>
                <w:color w:val="000000"/>
                <w:sz w:val="18"/>
                <w:szCs w:val="18"/>
              </w:rPr>
              <w:t>6.4.4.4</w:t>
            </w:r>
            <w:r>
              <w:rPr>
                <w:rFonts w:hint="eastAsia" w:ascii="宋体" w:hAnsi="宋体" w:eastAsia="宋体" w:cs="宋体"/>
                <w:color w:val="000000"/>
                <w:sz w:val="18"/>
                <w:szCs w:val="18"/>
              </w:rPr>
              <w:t>、</w:t>
            </w:r>
            <w:r>
              <w:rPr>
                <w:rFonts w:ascii="宋体" w:hAnsi="宋体" w:eastAsia="宋体" w:cs="宋体"/>
                <w:color w:val="000000"/>
                <w:sz w:val="18"/>
                <w:szCs w:val="18"/>
              </w:rPr>
              <w:t>6.5.4.5</w:t>
            </w:r>
            <w:r>
              <w:rPr>
                <w:rFonts w:hint="eastAsia" w:ascii="宋体" w:hAnsi="宋体" w:eastAsia="宋体" w:cs="宋体"/>
                <w:color w:val="000000"/>
                <w:sz w:val="18"/>
                <w:szCs w:val="18"/>
              </w:rPr>
              <w:t>、</w:t>
            </w:r>
            <w:r>
              <w:rPr>
                <w:rFonts w:ascii="宋体" w:hAnsi="宋体" w:eastAsia="宋体" w:cs="宋体"/>
                <w:color w:val="000000"/>
                <w:sz w:val="18"/>
                <w:szCs w:val="18"/>
              </w:rPr>
              <w:t>6.7.1.5</w:t>
            </w:r>
            <w:r>
              <w:rPr>
                <w:rFonts w:hint="eastAsia" w:ascii="宋体" w:hAnsi="宋体" w:eastAsia="宋体" w:cs="宋体"/>
                <w:color w:val="000000"/>
                <w:sz w:val="18"/>
                <w:szCs w:val="18"/>
              </w:rPr>
              <w:t>、</w:t>
            </w:r>
            <w:r>
              <w:rPr>
                <w:rFonts w:ascii="宋体" w:hAnsi="宋体" w:eastAsia="宋体" w:cs="宋体"/>
                <w:color w:val="000000"/>
                <w:sz w:val="18"/>
                <w:szCs w:val="18"/>
              </w:rPr>
              <w:t>6.1.1.3</w:t>
            </w:r>
            <w:r>
              <w:rPr>
                <w:rFonts w:hint="eastAsia" w:ascii="宋体" w:hAnsi="宋体" w:eastAsia="宋体" w:cs="宋体"/>
                <w:color w:val="000000"/>
                <w:sz w:val="18"/>
                <w:szCs w:val="18"/>
              </w:rPr>
              <w:t>、</w:t>
            </w:r>
            <w:r>
              <w:rPr>
                <w:rFonts w:ascii="宋体" w:hAnsi="宋体" w:eastAsia="宋体" w:cs="宋体"/>
                <w:color w:val="000000"/>
                <w:sz w:val="18"/>
                <w:szCs w:val="18"/>
              </w:rPr>
              <w:t>6.2.1.9</w:t>
            </w:r>
            <w:r>
              <w:rPr>
                <w:rFonts w:hint="eastAsia" w:ascii="宋体" w:hAnsi="宋体" w:eastAsia="宋体"/>
                <w:sz w:val="18"/>
                <w:szCs w:val="18"/>
              </w:rPr>
              <w:t>。</w:t>
            </w:r>
          </w:p>
          <w:p>
            <w:pPr>
              <w:spacing w:line="240" w:lineRule="exact"/>
              <w:jc w:val="left"/>
              <w:rPr>
                <w:rFonts w:ascii="宋体" w:hAnsi="宋体" w:eastAsia="宋体"/>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8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⑧</w:t>
            </w:r>
            <w:r>
              <w:rPr>
                <w:rFonts w:ascii="宋体" w:hAnsi="宋体" w:eastAsia="宋体"/>
                <w:sz w:val="18"/>
                <w:szCs w:val="18"/>
              </w:rPr>
              <w:fldChar w:fldCharType="end"/>
            </w:r>
            <w:r>
              <w:rPr>
                <w:rFonts w:hint="eastAsia" w:ascii="宋体" w:hAnsi="宋体" w:eastAsia="宋体"/>
                <w:sz w:val="18"/>
                <w:szCs w:val="18"/>
              </w:rPr>
              <w:t>《安全生产法》第三十二条、《金属非金属地下矿山紧急避险系统建设规范》（</w:t>
            </w:r>
            <w:r>
              <w:rPr>
                <w:rFonts w:ascii="宋体" w:hAnsi="宋体" w:eastAsia="宋体"/>
                <w:sz w:val="18"/>
                <w:szCs w:val="18"/>
              </w:rPr>
              <w:t>AQ2033-2011）5.6</w:t>
            </w:r>
            <w:r>
              <w:rPr>
                <w:rFonts w:hint="eastAsia" w:ascii="宋体" w:hAnsi="宋体" w:eastAsia="宋体"/>
                <w:sz w:val="18"/>
                <w:szCs w:val="18"/>
              </w:rPr>
              <w:t>、</w:t>
            </w:r>
            <w:r>
              <w:rPr>
                <w:rFonts w:ascii="宋体" w:hAnsi="宋体" w:eastAsia="宋体"/>
                <w:sz w:val="18"/>
                <w:szCs w:val="18"/>
              </w:rPr>
              <w:t>5.7</w:t>
            </w:r>
            <w:r>
              <w:rPr>
                <w:rFonts w:hint="eastAsia" w:ascii="宋体" w:hAnsi="宋体" w:eastAsia="宋体"/>
                <w:sz w:val="18"/>
                <w:szCs w:val="18"/>
              </w:rPr>
              <w:t>。</w:t>
            </w:r>
          </w:p>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9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⑨</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《安全生产法》第三十二条、《矿山安全标志》（GB16141-2008）。</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7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⑦</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《安全生产法》第九十六条第一项。</w:t>
            </w:r>
          </w:p>
          <w:p>
            <w:pPr>
              <w:spacing w:line="240" w:lineRule="exact"/>
              <w:rPr>
                <w:rFonts w:ascii="宋体" w:hAnsi="宋体" w:eastAsia="宋体"/>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8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⑧</w:t>
            </w:r>
            <w:r>
              <w:rPr>
                <w:rFonts w:ascii="宋体" w:hAnsi="宋体" w:eastAsia="宋体" w:cs="宋体"/>
                <w:color w:val="000000"/>
                <w:sz w:val="18"/>
                <w:szCs w:val="18"/>
              </w:rPr>
              <w:fldChar w:fldCharType="end"/>
            </w:r>
            <w:r>
              <w:rPr>
                <w:rFonts w:hint="eastAsia" w:ascii="宋体" w:hAnsi="宋体" w:eastAsia="宋体"/>
                <w:sz w:val="18"/>
                <w:szCs w:val="18"/>
              </w:rPr>
              <w:t>《安全生产法》第九十六条第一项。</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9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⑨</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《安全生产法》第九十六条第一项。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cs="宋体"/>
                <w:color w:val="000000"/>
                <w:sz w:val="18"/>
                <w:szCs w:val="18"/>
              </w:rPr>
            </w:pPr>
            <w:r>
              <w:rPr>
                <w:rFonts w:hint="eastAsia" w:ascii="宋体" w:hAnsi="宋体" w:cs="宋体"/>
                <w:color w:val="000000"/>
                <w:sz w:val="18"/>
                <w:szCs w:val="18"/>
              </w:rPr>
              <w:t>12</w:t>
            </w:r>
          </w:p>
        </w:tc>
        <w:tc>
          <w:tcPr>
            <w:tcW w:w="4432"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生产经营单位是否存在使用应当淘汰的危及生产安全的工艺、设备问题。</w:t>
            </w:r>
          </w:p>
          <w:p>
            <w:pPr>
              <w:spacing w:line="240" w:lineRule="exact"/>
              <w:jc w:val="left"/>
              <w:rPr>
                <w:rFonts w:ascii="宋体" w:hAnsi="宋体" w:eastAsia="宋体" w:cs="宋体"/>
                <w:color w:val="000000"/>
                <w:sz w:val="18"/>
                <w:szCs w:val="18"/>
              </w:rPr>
            </w:pPr>
            <w:r>
              <w:rPr>
                <w:rFonts w:hint="eastAsia" w:ascii="宋体" w:hAnsi="宋体" w:eastAsia="宋体" w:cs="宋体"/>
                <w:color w:val="000000"/>
                <w:sz w:val="18"/>
                <w:szCs w:val="18"/>
              </w:rPr>
              <w:t>（使用</w:t>
            </w:r>
            <w:r>
              <w:rPr>
                <w:rFonts w:ascii="宋体" w:hAnsi="宋体" w:eastAsia="宋体" w:cs="宋体"/>
                <w:color w:val="000000"/>
                <w:sz w:val="18"/>
                <w:szCs w:val="18"/>
              </w:rPr>
              <w:t>应当</w:t>
            </w:r>
            <w:r>
              <w:rPr>
                <w:rFonts w:hint="eastAsia" w:ascii="宋体" w:hAnsi="宋体" w:eastAsia="宋体" w:cs="宋体"/>
                <w:color w:val="000000"/>
                <w:sz w:val="18"/>
                <w:szCs w:val="18"/>
              </w:rPr>
              <w:t>淘汰</w:t>
            </w:r>
            <w:r>
              <w:rPr>
                <w:rFonts w:ascii="宋体" w:hAnsi="宋体" w:eastAsia="宋体" w:cs="宋体"/>
                <w:color w:val="000000"/>
                <w:sz w:val="18"/>
                <w:szCs w:val="18"/>
              </w:rPr>
              <w:t>的危及生产安全的工艺、设备</w:t>
            </w:r>
            <w:r>
              <w:rPr>
                <w:rFonts w:hint="eastAsia" w:ascii="宋体" w:hAnsi="宋体" w:eastAsia="宋体" w:cs="宋体"/>
                <w:color w:val="000000"/>
                <w:sz w:val="18"/>
                <w:szCs w:val="18"/>
              </w:rPr>
              <w:t>判定为重大事故隐患）</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查阅地下矿山提升机、</w:t>
            </w:r>
            <w:r>
              <w:rPr>
                <w:rFonts w:ascii="宋体" w:hAnsi="宋体" w:eastAsia="宋体" w:cs="宋体"/>
                <w:color w:val="000000"/>
                <w:sz w:val="18"/>
                <w:szCs w:val="18"/>
              </w:rPr>
              <w:t>提升绞车、</w:t>
            </w:r>
            <w:r>
              <w:rPr>
                <w:rFonts w:hint="eastAsia" w:ascii="宋体" w:hAnsi="宋体" w:eastAsia="宋体" w:cs="宋体"/>
                <w:color w:val="000000"/>
                <w:sz w:val="18"/>
                <w:szCs w:val="18"/>
              </w:rPr>
              <w:t>电缆</w:t>
            </w:r>
            <w:r>
              <w:rPr>
                <w:rFonts w:ascii="宋体" w:hAnsi="宋体" w:eastAsia="宋体" w:cs="宋体"/>
                <w:color w:val="000000"/>
                <w:sz w:val="18"/>
                <w:szCs w:val="18"/>
              </w:rPr>
              <w:t>、风筒、电机车</w:t>
            </w:r>
            <w:r>
              <w:rPr>
                <w:rFonts w:hint="eastAsia" w:ascii="宋体" w:hAnsi="宋体" w:eastAsia="宋体" w:cs="宋体"/>
                <w:color w:val="000000"/>
                <w:sz w:val="18"/>
                <w:szCs w:val="18"/>
              </w:rPr>
              <w:t>、</w:t>
            </w:r>
            <w:r>
              <w:rPr>
                <w:rFonts w:ascii="宋体" w:hAnsi="宋体" w:eastAsia="宋体" w:cs="宋体"/>
                <w:color w:val="000000"/>
                <w:sz w:val="18"/>
                <w:szCs w:val="18"/>
              </w:rPr>
              <w:t>局扇、</w:t>
            </w:r>
            <w:r>
              <w:rPr>
                <w:rFonts w:hint="eastAsia" w:ascii="宋体" w:hAnsi="宋体" w:eastAsia="宋体" w:cs="宋体"/>
                <w:color w:val="000000"/>
                <w:sz w:val="18"/>
                <w:szCs w:val="18"/>
              </w:rPr>
              <w:t>无轨胶轮车、等相关</w:t>
            </w:r>
            <w:r>
              <w:rPr>
                <w:rFonts w:ascii="宋体" w:hAnsi="宋体" w:eastAsia="宋体" w:cs="宋体"/>
                <w:color w:val="000000"/>
                <w:sz w:val="18"/>
                <w:szCs w:val="18"/>
              </w:rPr>
              <w:t>设备</w:t>
            </w:r>
            <w:r>
              <w:rPr>
                <w:rFonts w:hint="eastAsia" w:ascii="宋体" w:hAnsi="宋体" w:eastAsia="宋体" w:cs="宋体"/>
                <w:color w:val="000000"/>
                <w:sz w:val="18"/>
                <w:szCs w:val="18"/>
              </w:rPr>
              <w:t>资料，现场检查结合询问相关人员。</w:t>
            </w:r>
          </w:p>
        </w:tc>
        <w:tc>
          <w:tcPr>
            <w:tcW w:w="2617" w:type="dxa"/>
            <w:vAlign w:val="center"/>
          </w:tcPr>
          <w:p>
            <w:pPr>
              <w:spacing w:line="240" w:lineRule="exact"/>
              <w:jc w:val="lef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《安全生产法》第三十五条第三款，《金属非金属矿山禁止使用的设备及工艺目录（第一批）》（安监总管一〔</w:t>
            </w:r>
            <w:r>
              <w:rPr>
                <w:rFonts w:ascii="宋体" w:hAnsi="宋体" w:eastAsia="宋体" w:cs="宋体"/>
                <w:color w:val="000000"/>
                <w:sz w:val="18"/>
                <w:szCs w:val="18"/>
              </w:rPr>
              <w:t>2013〕101号）及《金属非金属矿山禁止使用的设备及工艺目录（第二批）》（安监总管一〔2015〕13号）</w:t>
            </w:r>
            <w:r>
              <w:rPr>
                <w:rFonts w:hint="eastAsia" w:ascii="宋体" w:hAnsi="宋体" w:eastAsia="宋体" w:cs="宋体"/>
                <w:color w:val="000000"/>
                <w:sz w:val="18"/>
                <w:szCs w:val="18"/>
              </w:rPr>
              <w:t>。</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《安全生产法》第九十六条第</w:t>
            </w:r>
            <w:r>
              <w:rPr>
                <w:rFonts w:ascii="宋体" w:hAnsi="宋体" w:eastAsia="宋体" w:cs="宋体"/>
                <w:color w:val="000000"/>
                <w:sz w:val="18"/>
                <w:szCs w:val="18"/>
              </w:rPr>
              <w:t>（</w:t>
            </w:r>
            <w:r>
              <w:rPr>
                <w:rFonts w:hint="eastAsia" w:ascii="宋体" w:hAnsi="宋体" w:eastAsia="宋体" w:cs="宋体"/>
                <w:color w:val="000000"/>
                <w:sz w:val="18"/>
                <w:szCs w:val="18"/>
              </w:rPr>
              <w:t>六</w:t>
            </w:r>
            <w:r>
              <w:rPr>
                <w:rFonts w:ascii="宋体" w:hAnsi="宋体" w:eastAsia="宋体" w:cs="宋体"/>
                <w:color w:val="000000"/>
                <w:sz w:val="18"/>
                <w:szCs w:val="18"/>
              </w:rPr>
              <w:t>）</w:t>
            </w:r>
            <w:r>
              <w:rPr>
                <w:rFonts w:hint="eastAsia" w:ascii="宋体" w:hAnsi="宋体" w:eastAsia="宋体" w:cs="宋体"/>
                <w:color w:val="000000"/>
                <w:sz w:val="18"/>
                <w:szCs w:val="18"/>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cs="宋体"/>
                <w:color w:val="000000"/>
                <w:sz w:val="18"/>
                <w:szCs w:val="18"/>
              </w:rPr>
            </w:pPr>
            <w:r>
              <w:rPr>
                <w:rFonts w:hint="eastAsia" w:ascii="宋体" w:hAnsi="宋体" w:cs="宋体"/>
                <w:color w:val="000000"/>
                <w:sz w:val="18"/>
                <w:szCs w:val="18"/>
              </w:rPr>
              <w:t>13</w:t>
            </w:r>
          </w:p>
        </w:tc>
        <w:tc>
          <w:tcPr>
            <w:tcW w:w="4432" w:type="dxa"/>
            <w:vAlign w:val="center"/>
          </w:tcPr>
          <w:p>
            <w:pPr>
              <w:spacing w:line="240" w:lineRule="exact"/>
              <w:rPr>
                <w:rFonts w:ascii="宋体" w:hAnsi="宋体" w:eastAsia="宋体" w:cs="宋体"/>
                <w:color w:val="000000"/>
                <w:sz w:val="18"/>
                <w:szCs w:val="18"/>
              </w:rPr>
            </w:pPr>
            <w:r>
              <w:rPr>
                <w:rFonts w:hint="eastAsia" w:ascii="宋体" w:hAnsi="宋体" w:eastAsia="宋体"/>
                <w:sz w:val="18"/>
                <w:szCs w:val="18"/>
              </w:rPr>
              <w:t>①</w:t>
            </w:r>
            <w:r>
              <w:rPr>
                <w:rFonts w:ascii="宋体" w:hAnsi="宋体" w:eastAsia="宋体" w:cs="宋体"/>
                <w:color w:val="000000"/>
                <w:sz w:val="18"/>
                <w:szCs w:val="18"/>
              </w:rPr>
              <w:t>监测</w:t>
            </w:r>
            <w:r>
              <w:rPr>
                <w:rFonts w:hint="eastAsia" w:ascii="宋体" w:hAnsi="宋体" w:eastAsia="宋体" w:cs="宋体"/>
                <w:color w:val="000000"/>
                <w:sz w:val="18"/>
                <w:szCs w:val="18"/>
              </w:rPr>
              <w:t>监控</w:t>
            </w:r>
            <w:r>
              <w:rPr>
                <w:rFonts w:ascii="宋体" w:hAnsi="宋体" w:eastAsia="宋体" w:cs="宋体"/>
                <w:color w:val="000000"/>
                <w:sz w:val="18"/>
                <w:szCs w:val="18"/>
              </w:rPr>
              <w:t>中心设备应</w:t>
            </w:r>
            <w:r>
              <w:rPr>
                <w:rFonts w:hint="eastAsia" w:ascii="宋体" w:hAnsi="宋体" w:eastAsia="宋体" w:cs="宋体"/>
                <w:color w:val="000000"/>
                <w:sz w:val="18"/>
                <w:szCs w:val="18"/>
              </w:rPr>
              <w:t>是否有</w:t>
            </w:r>
            <w:r>
              <w:rPr>
                <w:rFonts w:ascii="宋体" w:hAnsi="宋体" w:eastAsia="宋体" w:cs="宋体"/>
                <w:color w:val="000000"/>
                <w:sz w:val="18"/>
                <w:szCs w:val="18"/>
              </w:rPr>
              <w:t>可靠的防雷和接地</w:t>
            </w:r>
            <w:r>
              <w:rPr>
                <w:rFonts w:hint="eastAsia" w:ascii="宋体" w:hAnsi="宋体" w:eastAsia="宋体" w:cs="宋体"/>
                <w:color w:val="000000"/>
                <w:sz w:val="18"/>
                <w:szCs w:val="18"/>
              </w:rPr>
              <w:t>保护装置；②主机是否安装在地面，是否双机备份，是否在矿山生产调度室设置显示终端；③井下总回风巷、各个生产中段和分段的回风巷是否设置风速传感器；④</w:t>
            </w:r>
            <w:r>
              <w:rPr>
                <w:rFonts w:hint="eastAsia" w:ascii="宋体" w:hAnsi="宋体" w:eastAsia="宋体"/>
                <w:sz w:val="18"/>
                <w:szCs w:val="18"/>
              </w:rPr>
              <w:t>地下矿山是否配置足够的便携式气体检测报警仪；⑤主要通风机、辅助通风机、局部通风机是否安装开停传感器；</w:t>
            </w: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6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⑥</w:t>
            </w:r>
            <w:r>
              <w:rPr>
                <w:rFonts w:ascii="宋体" w:hAnsi="宋体" w:eastAsia="宋体"/>
                <w:sz w:val="18"/>
                <w:szCs w:val="18"/>
              </w:rPr>
              <w:fldChar w:fldCharType="end"/>
            </w:r>
            <w:r>
              <w:rPr>
                <w:rFonts w:hint="eastAsia" w:ascii="宋体" w:hAnsi="宋体" w:eastAsia="宋体"/>
                <w:sz w:val="18"/>
                <w:szCs w:val="18"/>
              </w:rPr>
              <w:t>提升人员的井口信号房、提升机房、井口、马头门等人员进出场所是否有视频监控。（地下矿山未配置足够的便携式气体检测报警仪为重大事故隐患）</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查设计、图纸，现场检查。</w:t>
            </w:r>
          </w:p>
        </w:tc>
        <w:tc>
          <w:tcPr>
            <w:tcW w:w="2617" w:type="dxa"/>
            <w:vAlign w:val="center"/>
          </w:tcPr>
          <w:p>
            <w:pPr>
              <w:spacing w:line="240" w:lineRule="exact"/>
              <w:jc w:val="left"/>
              <w:rPr>
                <w:rFonts w:ascii="宋体" w:hAnsi="宋体" w:eastAsia="宋体" w:cs="宋体"/>
                <w:color w:val="000000"/>
                <w:sz w:val="18"/>
                <w:szCs w:val="18"/>
              </w:rPr>
            </w:pPr>
            <w:r>
              <w:rPr>
                <w:rFonts w:hint="eastAsia" w:ascii="宋体" w:hAnsi="宋体" w:eastAsia="宋体"/>
                <w:sz w:val="18"/>
                <w:szCs w:val="18"/>
              </w:rPr>
              <w:t>①-</w:t>
            </w: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6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⑥</w:t>
            </w:r>
            <w:r>
              <w:rPr>
                <w:rFonts w:ascii="宋体" w:hAnsi="宋体" w:eastAsia="宋体"/>
                <w:sz w:val="18"/>
                <w:szCs w:val="18"/>
              </w:rPr>
              <w:fldChar w:fldCharType="end"/>
            </w:r>
            <w:r>
              <w:rPr>
                <w:rFonts w:ascii="宋体" w:hAnsi="宋体" w:eastAsia="宋体"/>
                <w:sz w:val="18"/>
                <w:szCs w:val="18"/>
              </w:rPr>
              <w:t>《安全生产法》第三十三条第一款</w:t>
            </w:r>
            <w:r>
              <w:rPr>
                <w:rFonts w:hint="eastAsia" w:ascii="宋体" w:hAnsi="宋体" w:eastAsia="宋体"/>
                <w:sz w:val="18"/>
                <w:szCs w:val="18"/>
              </w:rPr>
              <w:t>、《金属非金属地下矿山监测监控系统建设规范》AQ2031-2011 4.4、</w:t>
            </w:r>
            <w:r>
              <w:rPr>
                <w:rFonts w:ascii="宋体" w:hAnsi="宋体" w:eastAsia="宋体"/>
                <w:sz w:val="18"/>
                <w:szCs w:val="18"/>
              </w:rPr>
              <w:t>4.5</w:t>
            </w:r>
            <w:r>
              <w:rPr>
                <w:rFonts w:hint="eastAsia" w:ascii="宋体" w:hAnsi="宋体" w:eastAsia="宋体"/>
                <w:sz w:val="18"/>
                <w:szCs w:val="18"/>
              </w:rPr>
              <w:t>、6.1、5.1、6.5、7.1。</w:t>
            </w:r>
          </w:p>
          <w:p>
            <w:pPr>
              <w:spacing w:line="240" w:lineRule="exact"/>
              <w:jc w:val="left"/>
              <w:rPr>
                <w:rFonts w:ascii="宋体" w:hAnsi="宋体" w:eastAsia="宋体" w:cs="宋体"/>
                <w:color w:val="000000"/>
                <w:sz w:val="18"/>
                <w:szCs w:val="18"/>
              </w:rPr>
            </w:pP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1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①</w:t>
            </w:r>
            <w:r>
              <w:rPr>
                <w:rFonts w:ascii="宋体" w:hAnsi="宋体" w:eastAsia="宋体"/>
                <w:sz w:val="18"/>
                <w:szCs w:val="18"/>
              </w:rPr>
              <w:fldChar w:fldCharType="end"/>
            </w:r>
            <w:r>
              <w:rPr>
                <w:rFonts w:hint="eastAsia" w:ascii="宋体" w:hAnsi="宋体" w:eastAsia="宋体"/>
                <w:sz w:val="18"/>
                <w:szCs w:val="18"/>
              </w:rPr>
              <w:t>-</w:t>
            </w: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6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⑥</w:t>
            </w:r>
            <w:r>
              <w:rPr>
                <w:rFonts w:ascii="宋体" w:hAnsi="宋体" w:eastAsia="宋体"/>
                <w:sz w:val="18"/>
                <w:szCs w:val="18"/>
              </w:rPr>
              <w:fldChar w:fldCharType="end"/>
            </w:r>
            <w:r>
              <w:rPr>
                <w:rFonts w:hint="eastAsia" w:ascii="宋体" w:hAnsi="宋体" w:eastAsia="宋体"/>
                <w:sz w:val="18"/>
                <w:szCs w:val="18"/>
              </w:rPr>
              <w:t>《安全生产法》第九十六条第（二）项。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cs="宋体"/>
                <w:color w:val="000000"/>
                <w:sz w:val="18"/>
                <w:szCs w:val="18"/>
              </w:rPr>
            </w:pPr>
            <w:r>
              <w:rPr>
                <w:rFonts w:hint="eastAsia" w:ascii="宋体" w:hAnsi="宋体" w:cs="宋体"/>
                <w:color w:val="000000"/>
                <w:sz w:val="18"/>
                <w:szCs w:val="18"/>
              </w:rPr>
              <w:t>14</w:t>
            </w:r>
          </w:p>
        </w:tc>
        <w:tc>
          <w:tcPr>
            <w:tcW w:w="4432" w:type="dxa"/>
            <w:vAlign w:val="center"/>
          </w:tcPr>
          <w:p>
            <w:pPr>
              <w:spacing w:line="240" w:lineRule="exact"/>
              <w:rPr>
                <w:rFonts w:ascii="宋体" w:hAnsi="宋体" w:eastAsia="宋体"/>
                <w:sz w:val="18"/>
                <w:szCs w:val="18"/>
              </w:rPr>
            </w:pPr>
            <w:r>
              <w:rPr>
                <w:rFonts w:hint="eastAsia" w:ascii="宋体" w:hAnsi="宋体" w:eastAsia="宋体"/>
                <w:sz w:val="18"/>
                <w:szCs w:val="18"/>
              </w:rPr>
              <w:t>①井下最多同时作业人数不少于30人的金属非金属地下矿山是否建立完善的人员定位系统；</w:t>
            </w:r>
          </w:p>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②</w:t>
            </w:r>
            <w:r>
              <w:rPr>
                <w:rFonts w:hint="eastAsia" w:ascii="宋体" w:hAnsi="宋体" w:eastAsia="宋体"/>
                <w:sz w:val="18"/>
                <w:szCs w:val="18"/>
              </w:rPr>
              <w:t>是否按规定配备识别卡、备用卡。</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查设计、图纸，现场检查。</w:t>
            </w:r>
          </w:p>
        </w:tc>
        <w:tc>
          <w:tcPr>
            <w:tcW w:w="2617" w:type="dxa"/>
            <w:vAlign w:val="center"/>
          </w:tcPr>
          <w:p>
            <w:pPr>
              <w:spacing w:line="240" w:lineRule="exact"/>
              <w:jc w:val="left"/>
              <w:rPr>
                <w:rFonts w:ascii="宋体" w:hAnsi="宋体" w:eastAsia="宋体" w:cs="宋体"/>
                <w:color w:val="000000"/>
                <w:sz w:val="18"/>
                <w:szCs w:val="18"/>
              </w:rPr>
            </w:pPr>
            <w:r>
              <w:rPr>
                <w:rFonts w:hint="eastAsia" w:ascii="宋体" w:hAnsi="宋体" w:eastAsia="宋体"/>
                <w:sz w:val="18"/>
                <w:szCs w:val="18"/>
              </w:rPr>
              <w:t>①-</w:t>
            </w:r>
            <w:r>
              <w:rPr>
                <w:rFonts w:hint="eastAsia" w:ascii="宋体" w:hAnsi="宋体" w:eastAsia="宋体" w:cs="宋体"/>
                <w:color w:val="000000"/>
                <w:sz w:val="18"/>
                <w:szCs w:val="18"/>
              </w:rPr>
              <w:t>②《安全生产法》第三十三条第一款、《金属非金属地下矿山人员定位系统建设规范》（</w:t>
            </w:r>
            <w:r>
              <w:rPr>
                <w:rFonts w:ascii="宋体" w:hAnsi="宋体" w:eastAsia="宋体" w:cs="宋体"/>
                <w:color w:val="000000"/>
                <w:sz w:val="18"/>
                <w:szCs w:val="18"/>
              </w:rPr>
              <w:t>AQ203</w:t>
            </w:r>
            <w:r>
              <w:rPr>
                <w:rFonts w:hint="eastAsia" w:ascii="宋体" w:hAnsi="宋体" w:eastAsia="宋体" w:cs="宋体"/>
                <w:color w:val="000000"/>
                <w:sz w:val="18"/>
                <w:szCs w:val="18"/>
              </w:rPr>
              <w:t>2</w:t>
            </w:r>
            <w:r>
              <w:rPr>
                <w:rFonts w:ascii="宋体" w:hAnsi="宋体" w:eastAsia="宋体" w:cs="宋体"/>
                <w:color w:val="000000"/>
                <w:sz w:val="18"/>
                <w:szCs w:val="18"/>
              </w:rPr>
              <w:t>-2011</w:t>
            </w:r>
            <w:r>
              <w:rPr>
                <w:rFonts w:hint="eastAsia" w:ascii="宋体" w:hAnsi="宋体" w:eastAsia="宋体" w:cs="宋体"/>
                <w:color w:val="000000"/>
                <w:sz w:val="18"/>
                <w:szCs w:val="18"/>
              </w:rPr>
              <w:t>）</w:t>
            </w:r>
            <w:r>
              <w:rPr>
                <w:rFonts w:ascii="宋体" w:hAnsi="宋体" w:eastAsia="宋体" w:cs="宋体"/>
                <w:color w:val="000000"/>
                <w:sz w:val="18"/>
                <w:szCs w:val="18"/>
              </w:rPr>
              <w:t>4.</w:t>
            </w:r>
            <w:r>
              <w:rPr>
                <w:rFonts w:hint="eastAsia" w:ascii="宋体" w:hAnsi="宋体" w:eastAsia="宋体" w:cs="宋体"/>
                <w:color w:val="000000"/>
                <w:sz w:val="18"/>
                <w:szCs w:val="18"/>
              </w:rPr>
              <w:t>1</w:t>
            </w:r>
            <w:r>
              <w:rPr>
                <w:rFonts w:ascii="宋体" w:hAnsi="宋体" w:eastAsia="宋体" w:cs="宋体"/>
                <w:color w:val="000000"/>
                <w:sz w:val="18"/>
                <w:szCs w:val="18"/>
              </w:rPr>
              <w:t>、</w:t>
            </w:r>
            <w:r>
              <w:rPr>
                <w:rFonts w:hint="eastAsia" w:ascii="宋体" w:hAnsi="宋体" w:eastAsia="宋体" w:cs="宋体"/>
                <w:color w:val="000000"/>
                <w:sz w:val="18"/>
                <w:szCs w:val="18"/>
              </w:rPr>
              <w:t>4.10</w:t>
            </w:r>
            <w:r>
              <w:rPr>
                <w:rFonts w:ascii="宋体" w:hAnsi="宋体" w:eastAsia="宋体" w:cs="宋体"/>
                <w:color w:val="000000"/>
                <w:sz w:val="18"/>
                <w:szCs w:val="18"/>
              </w:rPr>
              <w:t>。</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1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①</w:t>
            </w:r>
            <w:r>
              <w:rPr>
                <w:rFonts w:ascii="宋体" w:hAnsi="宋体" w:eastAsia="宋体"/>
                <w:sz w:val="18"/>
                <w:szCs w:val="18"/>
              </w:rPr>
              <w:fldChar w:fldCharType="end"/>
            </w:r>
            <w:r>
              <w:rPr>
                <w:rFonts w:hint="eastAsia" w:ascii="宋体" w:hAnsi="宋体" w:eastAsia="宋体"/>
                <w:sz w:val="18"/>
                <w:szCs w:val="18"/>
              </w:rPr>
              <w:t>-</w:t>
            </w: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2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②</w:t>
            </w:r>
            <w:r>
              <w:rPr>
                <w:rFonts w:ascii="宋体" w:hAnsi="宋体" w:eastAsia="宋体"/>
                <w:sz w:val="18"/>
                <w:szCs w:val="18"/>
              </w:rPr>
              <w:fldChar w:fldCharType="end"/>
            </w:r>
            <w:r>
              <w:rPr>
                <w:rFonts w:ascii="宋体" w:hAnsi="宋体" w:eastAsia="宋体" w:cs="宋体"/>
                <w:color w:val="000000"/>
                <w:sz w:val="18"/>
                <w:szCs w:val="18"/>
              </w:rPr>
              <w:t>《安全生产法》第九十六条第（二）项</w:t>
            </w:r>
            <w:r>
              <w:rPr>
                <w:rFonts w:hint="eastAsia" w:ascii="宋体" w:hAnsi="宋体" w:eastAsia="宋体" w:cs="宋体"/>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cs="宋体"/>
                <w:color w:val="000000"/>
                <w:sz w:val="18"/>
                <w:szCs w:val="18"/>
              </w:rPr>
            </w:pPr>
            <w:r>
              <w:rPr>
                <w:rFonts w:hint="eastAsia" w:ascii="宋体" w:hAnsi="宋体" w:cs="宋体"/>
                <w:color w:val="000000"/>
                <w:sz w:val="18"/>
                <w:szCs w:val="18"/>
              </w:rPr>
              <w:t>15</w:t>
            </w:r>
          </w:p>
        </w:tc>
        <w:tc>
          <w:tcPr>
            <w:tcW w:w="4432" w:type="dxa"/>
            <w:vAlign w:val="center"/>
          </w:tcPr>
          <w:p>
            <w:pPr>
              <w:spacing w:line="240" w:lineRule="exact"/>
              <w:rPr>
                <w:rFonts w:ascii="宋体" w:hAnsi="宋体" w:eastAsia="宋体" w:cs="宋体"/>
                <w:color w:val="000000"/>
                <w:sz w:val="18"/>
                <w:szCs w:val="18"/>
              </w:rPr>
            </w:pPr>
            <w:r>
              <w:rPr>
                <w:rFonts w:hint="eastAsia" w:ascii="宋体" w:hAnsi="宋体" w:eastAsia="宋体"/>
                <w:sz w:val="18"/>
                <w:szCs w:val="18"/>
              </w:rPr>
              <w:t>①</w:t>
            </w:r>
            <w:r>
              <w:rPr>
                <w:rFonts w:hint="eastAsia" w:ascii="宋体" w:hAnsi="宋体" w:eastAsia="宋体" w:cs="宋体"/>
                <w:color w:val="000000"/>
                <w:sz w:val="18"/>
                <w:szCs w:val="18"/>
              </w:rPr>
              <w:t>压风自救系统的空气压缩机、送气管路、三通及阀门、油水分离器、压风自救装置等是否符合要求。</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查设计、图纸，现场检查。</w:t>
            </w:r>
          </w:p>
        </w:tc>
        <w:tc>
          <w:tcPr>
            <w:tcW w:w="2617" w:type="dxa"/>
            <w:vAlign w:val="center"/>
          </w:tcPr>
          <w:p>
            <w:pPr>
              <w:spacing w:line="240" w:lineRule="exact"/>
              <w:jc w:val="left"/>
              <w:rPr>
                <w:rFonts w:ascii="宋体" w:hAnsi="宋体" w:eastAsia="宋体" w:cs="宋体"/>
                <w:color w:val="000000"/>
                <w:sz w:val="18"/>
                <w:szCs w:val="18"/>
              </w:rPr>
            </w:pPr>
            <w:r>
              <w:rPr>
                <w:rFonts w:hint="eastAsia" w:ascii="宋体" w:hAnsi="宋体" w:eastAsia="宋体"/>
                <w:sz w:val="18"/>
                <w:szCs w:val="18"/>
              </w:rPr>
              <w:t>①</w:t>
            </w:r>
            <w:r>
              <w:rPr>
                <w:rFonts w:hint="eastAsia" w:ascii="宋体" w:hAnsi="宋体" w:eastAsia="宋体" w:cs="宋体"/>
                <w:color w:val="000000"/>
                <w:sz w:val="18"/>
                <w:szCs w:val="18"/>
              </w:rPr>
              <w:t>《安全生产法》第三十三条第一款、《金属非金属地下矿山压风自救系统建设规范》（</w:t>
            </w:r>
            <w:r>
              <w:rPr>
                <w:rFonts w:ascii="宋体" w:hAnsi="宋体" w:eastAsia="宋体" w:cs="宋体"/>
                <w:color w:val="000000"/>
                <w:sz w:val="18"/>
                <w:szCs w:val="18"/>
              </w:rPr>
              <w:t>AQ203</w:t>
            </w:r>
            <w:r>
              <w:rPr>
                <w:rFonts w:hint="eastAsia" w:ascii="宋体" w:hAnsi="宋体" w:eastAsia="宋体" w:cs="宋体"/>
                <w:color w:val="000000"/>
                <w:sz w:val="18"/>
                <w:szCs w:val="18"/>
              </w:rPr>
              <w:t>4</w:t>
            </w:r>
            <w:r>
              <w:rPr>
                <w:rFonts w:ascii="宋体" w:hAnsi="宋体" w:eastAsia="宋体" w:cs="宋体"/>
                <w:color w:val="000000"/>
                <w:sz w:val="18"/>
                <w:szCs w:val="18"/>
              </w:rPr>
              <w:t>-201</w:t>
            </w:r>
            <w:r>
              <w:rPr>
                <w:rFonts w:hint="eastAsia" w:ascii="宋体" w:hAnsi="宋体" w:eastAsia="宋体" w:cs="宋体"/>
                <w:color w:val="000000"/>
                <w:sz w:val="18"/>
                <w:szCs w:val="18"/>
              </w:rPr>
              <w:t>1）</w:t>
            </w:r>
            <w:r>
              <w:rPr>
                <w:rFonts w:ascii="宋体" w:hAnsi="宋体" w:eastAsia="宋体" w:cs="宋体"/>
                <w:color w:val="000000"/>
                <w:sz w:val="18"/>
                <w:szCs w:val="18"/>
              </w:rPr>
              <w:t>。</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1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①</w:t>
            </w:r>
            <w:r>
              <w:rPr>
                <w:rFonts w:ascii="宋体" w:hAnsi="宋体" w:eastAsia="宋体"/>
                <w:sz w:val="18"/>
                <w:szCs w:val="18"/>
              </w:rPr>
              <w:fldChar w:fldCharType="end"/>
            </w:r>
            <w:r>
              <w:rPr>
                <w:rFonts w:ascii="宋体" w:hAnsi="宋体" w:eastAsia="宋体" w:cs="宋体"/>
                <w:color w:val="000000"/>
                <w:sz w:val="18"/>
                <w:szCs w:val="18"/>
              </w:rPr>
              <w:t>《安全生产法》第九十六条第（二）项</w:t>
            </w:r>
            <w:r>
              <w:rPr>
                <w:rFonts w:hint="eastAsia" w:ascii="宋体" w:hAnsi="宋体" w:eastAsia="宋体" w:cs="宋体"/>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cs="宋体"/>
                <w:color w:val="000000"/>
                <w:sz w:val="18"/>
                <w:szCs w:val="18"/>
              </w:rPr>
            </w:pPr>
            <w:r>
              <w:rPr>
                <w:rFonts w:hint="eastAsia" w:ascii="宋体" w:hAnsi="宋体" w:cs="宋体"/>
                <w:color w:val="000000"/>
                <w:sz w:val="18"/>
                <w:szCs w:val="18"/>
              </w:rPr>
              <w:t>16</w:t>
            </w:r>
          </w:p>
        </w:tc>
        <w:tc>
          <w:tcPr>
            <w:tcW w:w="4432" w:type="dxa"/>
            <w:vAlign w:val="center"/>
          </w:tcPr>
          <w:p>
            <w:pPr>
              <w:pStyle w:val="86"/>
              <w:numPr>
                <w:ilvl w:val="0"/>
                <w:numId w:val="2"/>
              </w:numPr>
              <w:spacing w:line="240" w:lineRule="exact"/>
              <w:ind w:left="0" w:firstLineChars="0"/>
              <w:jc w:val="left"/>
              <w:rPr>
                <w:rFonts w:ascii="宋体" w:hAnsi="宋体" w:eastAsia="宋体" w:cs="宋体"/>
                <w:color w:val="000000"/>
                <w:sz w:val="18"/>
                <w:szCs w:val="18"/>
              </w:rPr>
            </w:pPr>
            <w:r>
              <w:rPr>
                <w:rFonts w:hint="eastAsia" w:ascii="宋体" w:hAnsi="宋体" w:eastAsia="宋体" w:cs="宋体"/>
                <w:color w:val="000000"/>
                <w:sz w:val="18"/>
                <w:szCs w:val="18"/>
              </w:rPr>
              <w:t>供水施救系统供水管路、三通及阀门等是否符合要求。</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查设计、图纸，现场检查。</w:t>
            </w:r>
          </w:p>
        </w:tc>
        <w:tc>
          <w:tcPr>
            <w:tcW w:w="2617" w:type="dxa"/>
            <w:vAlign w:val="center"/>
          </w:tcPr>
          <w:p>
            <w:pPr>
              <w:spacing w:line="240" w:lineRule="exact"/>
              <w:jc w:val="left"/>
              <w:rPr>
                <w:rFonts w:ascii="宋体" w:hAnsi="宋体" w:eastAsia="宋体" w:cs="宋体"/>
                <w:color w:val="000000"/>
                <w:sz w:val="18"/>
                <w:szCs w:val="18"/>
              </w:rPr>
            </w:pPr>
            <w:r>
              <w:rPr>
                <w:rFonts w:hint="eastAsia" w:ascii="宋体" w:hAnsi="宋体" w:eastAsia="宋体"/>
                <w:sz w:val="18"/>
                <w:szCs w:val="18"/>
              </w:rPr>
              <w:t>①</w:t>
            </w:r>
            <w:r>
              <w:rPr>
                <w:rFonts w:hint="eastAsia" w:ascii="宋体" w:hAnsi="宋体" w:eastAsia="宋体" w:cs="宋体"/>
                <w:color w:val="000000"/>
                <w:sz w:val="18"/>
                <w:szCs w:val="18"/>
              </w:rPr>
              <w:t>《安全生产法》第三十三条第一款、《金属非金属地下矿山供水施救系统建设规范》（</w:t>
            </w:r>
            <w:r>
              <w:rPr>
                <w:rFonts w:ascii="宋体" w:hAnsi="宋体" w:eastAsia="宋体" w:cs="宋体"/>
                <w:color w:val="000000"/>
                <w:sz w:val="18"/>
                <w:szCs w:val="18"/>
              </w:rPr>
              <w:t>AQ203</w:t>
            </w:r>
            <w:r>
              <w:rPr>
                <w:rFonts w:hint="eastAsia" w:ascii="宋体" w:hAnsi="宋体" w:eastAsia="宋体" w:cs="宋体"/>
                <w:color w:val="000000"/>
                <w:sz w:val="18"/>
                <w:szCs w:val="18"/>
              </w:rPr>
              <w:t>5</w:t>
            </w:r>
            <w:r>
              <w:rPr>
                <w:rFonts w:ascii="宋体" w:hAnsi="宋体" w:eastAsia="宋体" w:cs="宋体"/>
                <w:color w:val="000000"/>
                <w:sz w:val="18"/>
                <w:szCs w:val="18"/>
              </w:rPr>
              <w:t>-201</w:t>
            </w:r>
            <w:r>
              <w:rPr>
                <w:rFonts w:hint="eastAsia" w:ascii="宋体" w:hAnsi="宋体" w:eastAsia="宋体" w:cs="宋体"/>
                <w:color w:val="000000"/>
                <w:sz w:val="18"/>
                <w:szCs w:val="18"/>
              </w:rPr>
              <w:t>1）</w:t>
            </w:r>
            <w:r>
              <w:rPr>
                <w:rFonts w:ascii="宋体" w:hAnsi="宋体" w:eastAsia="宋体" w:cs="宋体"/>
                <w:color w:val="000000"/>
                <w:sz w:val="18"/>
                <w:szCs w:val="18"/>
              </w:rPr>
              <w:t>。</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1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①</w:t>
            </w:r>
            <w:r>
              <w:rPr>
                <w:rFonts w:ascii="宋体" w:hAnsi="宋体" w:eastAsia="宋体"/>
                <w:sz w:val="18"/>
                <w:szCs w:val="18"/>
              </w:rPr>
              <w:fldChar w:fldCharType="end"/>
            </w:r>
            <w:r>
              <w:rPr>
                <w:rFonts w:ascii="宋体" w:hAnsi="宋体" w:eastAsia="宋体" w:cs="宋体"/>
                <w:color w:val="000000"/>
                <w:sz w:val="18"/>
                <w:szCs w:val="18"/>
              </w:rPr>
              <w:t>《安全生产法》第九十六条第（二）项</w:t>
            </w:r>
            <w:r>
              <w:rPr>
                <w:rFonts w:hint="eastAsia" w:ascii="宋体" w:hAnsi="宋体" w:eastAsia="宋体" w:cs="宋体"/>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cs="宋体"/>
                <w:color w:val="000000"/>
                <w:sz w:val="18"/>
                <w:szCs w:val="18"/>
              </w:rPr>
            </w:pPr>
            <w:r>
              <w:rPr>
                <w:rFonts w:hint="eastAsia" w:ascii="宋体" w:hAnsi="宋体" w:cs="宋体"/>
                <w:color w:val="000000"/>
                <w:sz w:val="18"/>
                <w:szCs w:val="18"/>
              </w:rPr>
              <w:t>17</w:t>
            </w:r>
          </w:p>
        </w:tc>
        <w:tc>
          <w:tcPr>
            <w:tcW w:w="4432" w:type="dxa"/>
            <w:vAlign w:val="center"/>
          </w:tcPr>
          <w:p>
            <w:pPr>
              <w:spacing w:line="240" w:lineRule="exact"/>
              <w:jc w:val="left"/>
              <w:rPr>
                <w:rFonts w:ascii="宋体" w:hAnsi="宋体" w:eastAsia="宋体"/>
                <w:sz w:val="18"/>
                <w:szCs w:val="18"/>
              </w:rPr>
            </w:pPr>
            <w:r>
              <w:rPr>
                <w:rFonts w:hint="eastAsia" w:ascii="宋体" w:hAnsi="宋体" w:eastAsia="宋体"/>
                <w:sz w:val="18"/>
                <w:szCs w:val="18"/>
              </w:rPr>
              <w:t>①紧急避险设施的设置是否符合要求；</w:t>
            </w:r>
          </w:p>
          <w:p>
            <w:pPr>
              <w:spacing w:line="240" w:lineRule="exact"/>
              <w:jc w:val="left"/>
              <w:rPr>
                <w:rFonts w:ascii="宋体" w:hAnsi="宋体" w:eastAsia="宋体"/>
                <w:sz w:val="18"/>
                <w:szCs w:val="18"/>
              </w:rPr>
            </w:pPr>
            <w:r>
              <w:rPr>
                <w:rFonts w:hint="eastAsia" w:ascii="宋体" w:hAnsi="宋体" w:eastAsia="宋体"/>
                <w:sz w:val="18"/>
                <w:szCs w:val="18"/>
              </w:rPr>
              <w:t>②自救器配备是否符合要求。</w:t>
            </w:r>
          </w:p>
          <w:p>
            <w:pPr>
              <w:spacing w:line="240" w:lineRule="exact"/>
              <w:jc w:val="left"/>
              <w:rPr>
                <w:rFonts w:ascii="宋体" w:hAnsi="宋体" w:eastAsia="宋体" w:cs="宋体"/>
                <w:color w:val="000000"/>
                <w:sz w:val="18"/>
                <w:szCs w:val="18"/>
              </w:rPr>
            </w:pPr>
            <w:r>
              <w:rPr>
                <w:rFonts w:hint="eastAsia" w:ascii="宋体" w:hAnsi="宋体" w:eastAsia="宋体"/>
                <w:sz w:val="18"/>
                <w:szCs w:val="18"/>
              </w:rPr>
              <w:t>（未配齐具有矿用产品安全标志的自救器判定为重大事故隐患）</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查设计、图纸，现场检查。</w:t>
            </w:r>
          </w:p>
        </w:tc>
        <w:tc>
          <w:tcPr>
            <w:tcW w:w="2617" w:type="dxa"/>
            <w:vAlign w:val="center"/>
          </w:tcPr>
          <w:p>
            <w:pPr>
              <w:spacing w:line="240" w:lineRule="exact"/>
              <w:jc w:val="left"/>
              <w:rPr>
                <w:rFonts w:ascii="宋体" w:hAnsi="宋体" w:eastAsia="宋体" w:cs="宋体"/>
                <w:color w:val="000000"/>
                <w:sz w:val="18"/>
                <w:szCs w:val="18"/>
              </w:rPr>
            </w:pPr>
            <w:r>
              <w:rPr>
                <w:rFonts w:hint="eastAsia" w:ascii="宋体" w:hAnsi="宋体" w:eastAsia="宋体"/>
                <w:sz w:val="18"/>
                <w:szCs w:val="18"/>
              </w:rPr>
              <w:t>①-</w:t>
            </w:r>
            <w:r>
              <w:rPr>
                <w:rFonts w:hint="eastAsia" w:ascii="宋体" w:hAnsi="宋体" w:eastAsia="宋体" w:cs="宋体"/>
                <w:color w:val="000000"/>
                <w:sz w:val="18"/>
                <w:szCs w:val="18"/>
              </w:rPr>
              <w:t>②《安全生产法》第三十三条第一款、《金属非金属地下矿山紧急避险系统建设规范》（</w:t>
            </w:r>
            <w:r>
              <w:rPr>
                <w:rFonts w:ascii="宋体" w:hAnsi="宋体" w:eastAsia="宋体" w:cs="宋体"/>
                <w:color w:val="000000"/>
                <w:sz w:val="18"/>
                <w:szCs w:val="18"/>
              </w:rPr>
              <w:t>AQ203</w:t>
            </w:r>
            <w:r>
              <w:rPr>
                <w:rFonts w:hint="eastAsia" w:ascii="宋体" w:hAnsi="宋体" w:eastAsia="宋体" w:cs="宋体"/>
                <w:color w:val="000000"/>
                <w:sz w:val="18"/>
                <w:szCs w:val="18"/>
              </w:rPr>
              <w:t>3</w:t>
            </w:r>
            <w:r>
              <w:rPr>
                <w:rFonts w:ascii="宋体" w:hAnsi="宋体" w:eastAsia="宋体" w:cs="宋体"/>
                <w:color w:val="000000"/>
                <w:sz w:val="18"/>
                <w:szCs w:val="18"/>
              </w:rPr>
              <w:t>-2011</w:t>
            </w:r>
            <w:r>
              <w:rPr>
                <w:rFonts w:hint="eastAsia" w:ascii="宋体" w:hAnsi="宋体" w:eastAsia="宋体" w:cs="宋体"/>
                <w:color w:val="000000"/>
                <w:sz w:val="18"/>
                <w:szCs w:val="18"/>
              </w:rPr>
              <w:t>）</w:t>
            </w:r>
            <w:r>
              <w:rPr>
                <w:rFonts w:ascii="宋体" w:hAnsi="宋体" w:eastAsia="宋体" w:cs="宋体"/>
                <w:color w:val="000000"/>
                <w:sz w:val="18"/>
                <w:szCs w:val="18"/>
              </w:rPr>
              <w:t>4.</w:t>
            </w:r>
            <w:r>
              <w:rPr>
                <w:rFonts w:hint="eastAsia" w:ascii="宋体" w:hAnsi="宋体" w:eastAsia="宋体" w:cs="宋体"/>
                <w:color w:val="000000"/>
                <w:sz w:val="18"/>
                <w:szCs w:val="18"/>
              </w:rPr>
              <w:t>4</w:t>
            </w:r>
            <w:r>
              <w:rPr>
                <w:rFonts w:ascii="宋体" w:hAnsi="宋体" w:eastAsia="宋体" w:cs="宋体"/>
                <w:color w:val="000000"/>
                <w:sz w:val="18"/>
                <w:szCs w:val="18"/>
              </w:rPr>
              <w:t>、</w:t>
            </w:r>
            <w:r>
              <w:rPr>
                <w:rFonts w:hint="eastAsia" w:ascii="宋体" w:hAnsi="宋体" w:eastAsia="宋体" w:cs="宋体"/>
                <w:color w:val="000000"/>
                <w:sz w:val="18"/>
                <w:szCs w:val="18"/>
              </w:rPr>
              <w:t>5.3</w:t>
            </w:r>
            <w:r>
              <w:rPr>
                <w:rFonts w:ascii="宋体" w:hAnsi="宋体" w:eastAsia="宋体" w:cs="宋体"/>
                <w:color w:val="000000"/>
                <w:sz w:val="18"/>
                <w:szCs w:val="18"/>
              </w:rPr>
              <w:t>。</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1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①</w:t>
            </w:r>
            <w:r>
              <w:rPr>
                <w:rFonts w:ascii="宋体" w:hAnsi="宋体" w:eastAsia="宋体"/>
                <w:sz w:val="18"/>
                <w:szCs w:val="18"/>
              </w:rPr>
              <w:fldChar w:fldCharType="end"/>
            </w:r>
            <w:r>
              <w:rPr>
                <w:rFonts w:hint="eastAsia" w:ascii="宋体" w:hAnsi="宋体" w:eastAsia="宋体"/>
                <w:sz w:val="18"/>
                <w:szCs w:val="18"/>
              </w:rPr>
              <w:t>-</w:t>
            </w: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2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②</w:t>
            </w:r>
            <w:r>
              <w:rPr>
                <w:rFonts w:ascii="宋体" w:hAnsi="宋体" w:eastAsia="宋体"/>
                <w:sz w:val="18"/>
                <w:szCs w:val="18"/>
              </w:rPr>
              <w:fldChar w:fldCharType="end"/>
            </w:r>
            <w:r>
              <w:rPr>
                <w:rFonts w:ascii="宋体" w:hAnsi="宋体" w:eastAsia="宋体" w:cs="宋体"/>
                <w:color w:val="000000"/>
                <w:sz w:val="18"/>
                <w:szCs w:val="18"/>
              </w:rPr>
              <w:t>《安全生产法》第九十六条第（二）项</w:t>
            </w:r>
            <w:r>
              <w:rPr>
                <w:rFonts w:hint="eastAsia" w:ascii="宋体" w:hAnsi="宋体" w:eastAsia="宋体" w:cs="宋体"/>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cs="宋体"/>
                <w:color w:val="000000"/>
                <w:sz w:val="18"/>
                <w:szCs w:val="18"/>
              </w:rPr>
            </w:pPr>
            <w:r>
              <w:rPr>
                <w:rFonts w:hint="eastAsia" w:ascii="宋体" w:hAnsi="宋体" w:cs="宋体"/>
                <w:color w:val="000000"/>
                <w:sz w:val="18"/>
                <w:szCs w:val="18"/>
              </w:rPr>
              <w:t>18</w:t>
            </w:r>
          </w:p>
        </w:tc>
        <w:tc>
          <w:tcPr>
            <w:tcW w:w="4432" w:type="dxa"/>
            <w:vAlign w:val="center"/>
          </w:tcPr>
          <w:p>
            <w:pPr>
              <w:spacing w:line="240" w:lineRule="exact"/>
              <w:jc w:val="left"/>
              <w:rPr>
                <w:rFonts w:ascii="宋体" w:hAnsi="宋体" w:eastAsia="宋体"/>
                <w:sz w:val="18"/>
                <w:szCs w:val="18"/>
              </w:rPr>
            </w:pPr>
            <w:r>
              <w:rPr>
                <w:rFonts w:hint="eastAsia" w:ascii="宋体" w:hAnsi="宋体" w:eastAsia="宋体"/>
                <w:sz w:val="18"/>
                <w:szCs w:val="18"/>
              </w:rPr>
              <w:t>①有线通讯联络系统功能是否符合要求；</w:t>
            </w:r>
          </w:p>
          <w:p>
            <w:pPr>
              <w:spacing w:line="240" w:lineRule="exact"/>
              <w:jc w:val="left"/>
              <w:rPr>
                <w:rFonts w:ascii="宋体" w:hAnsi="宋体" w:eastAsia="宋体"/>
                <w:sz w:val="18"/>
                <w:szCs w:val="18"/>
              </w:rPr>
            </w:pPr>
            <w:r>
              <w:rPr>
                <w:rFonts w:hint="eastAsia" w:ascii="宋体" w:hAnsi="宋体" w:eastAsia="宋体"/>
                <w:sz w:val="18"/>
                <w:szCs w:val="18"/>
              </w:rPr>
              <w:t>②井底车场、马头门、主要机电硐室、井下变电所、主要泵房、提升机房、主要通风机房等地点是否安装通信联络终端；</w:t>
            </w:r>
          </w:p>
          <w:p>
            <w:pPr>
              <w:pStyle w:val="86"/>
              <w:numPr>
                <w:ilvl w:val="0"/>
                <w:numId w:val="2"/>
              </w:numPr>
              <w:spacing w:line="240" w:lineRule="exact"/>
              <w:ind w:left="0" w:firstLineChars="0"/>
              <w:jc w:val="left"/>
              <w:rPr>
                <w:rFonts w:ascii="宋体" w:hAnsi="宋体" w:eastAsia="宋体" w:cs="宋体"/>
                <w:color w:val="000000"/>
                <w:sz w:val="18"/>
                <w:szCs w:val="18"/>
              </w:rPr>
            </w:pPr>
            <w:r>
              <w:rPr>
                <w:rFonts w:hint="eastAsia" w:ascii="宋体" w:hAnsi="宋体" w:eastAsia="宋体"/>
                <w:sz w:val="18"/>
                <w:szCs w:val="18"/>
              </w:rPr>
              <w:t>否按规定从不同井口敷设两条通信线缆。</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现场检查。</w:t>
            </w:r>
          </w:p>
        </w:tc>
        <w:tc>
          <w:tcPr>
            <w:tcW w:w="2617" w:type="dxa"/>
            <w:vAlign w:val="center"/>
          </w:tcPr>
          <w:p>
            <w:pPr>
              <w:spacing w:line="240" w:lineRule="exact"/>
              <w:jc w:val="left"/>
              <w:rPr>
                <w:rFonts w:ascii="宋体" w:hAnsi="宋体" w:eastAsia="宋体" w:cs="宋体"/>
                <w:color w:val="000000"/>
                <w:sz w:val="18"/>
                <w:szCs w:val="18"/>
              </w:rPr>
            </w:pPr>
            <w:r>
              <w:rPr>
                <w:rFonts w:hint="eastAsia" w:ascii="宋体" w:hAnsi="宋体" w:eastAsia="宋体"/>
                <w:sz w:val="18"/>
                <w:szCs w:val="18"/>
              </w:rPr>
              <w:t>①-</w:t>
            </w:r>
            <w:r>
              <w:rPr>
                <w:rFonts w:hint="eastAsia" w:ascii="宋体" w:hAnsi="宋体" w:eastAsia="宋体" w:cs="宋体"/>
                <w:color w:val="000000"/>
                <w:sz w:val="18"/>
                <w:szCs w:val="18"/>
              </w:rPr>
              <w:t>②《安全生产法》第三十三条第一款、《金属非金属地下矿山通信联络系统建设规范》（</w:t>
            </w:r>
            <w:r>
              <w:rPr>
                <w:rFonts w:ascii="宋体" w:hAnsi="宋体" w:eastAsia="宋体" w:cs="宋体"/>
                <w:color w:val="000000"/>
                <w:sz w:val="18"/>
                <w:szCs w:val="18"/>
              </w:rPr>
              <w:t>AQ203</w:t>
            </w:r>
            <w:r>
              <w:rPr>
                <w:rFonts w:hint="eastAsia" w:ascii="宋体" w:hAnsi="宋体" w:eastAsia="宋体" w:cs="宋体"/>
                <w:color w:val="000000"/>
                <w:sz w:val="18"/>
                <w:szCs w:val="18"/>
              </w:rPr>
              <w:t>6</w:t>
            </w:r>
            <w:r>
              <w:rPr>
                <w:rFonts w:ascii="宋体" w:hAnsi="宋体" w:eastAsia="宋体" w:cs="宋体"/>
                <w:color w:val="000000"/>
                <w:sz w:val="18"/>
                <w:szCs w:val="18"/>
              </w:rPr>
              <w:t>-2011</w:t>
            </w:r>
            <w:r>
              <w:rPr>
                <w:rFonts w:hint="eastAsia" w:ascii="宋体" w:hAnsi="宋体" w:eastAsia="宋体" w:cs="宋体"/>
                <w:color w:val="000000"/>
                <w:sz w:val="18"/>
                <w:szCs w:val="18"/>
              </w:rPr>
              <w:t>）</w:t>
            </w:r>
            <w:r>
              <w:rPr>
                <w:rFonts w:ascii="宋体" w:hAnsi="宋体" w:eastAsia="宋体" w:cs="宋体"/>
                <w:color w:val="000000"/>
                <w:sz w:val="18"/>
                <w:szCs w:val="18"/>
              </w:rPr>
              <w:t>4.</w:t>
            </w:r>
            <w:r>
              <w:rPr>
                <w:rFonts w:hint="eastAsia" w:ascii="宋体" w:hAnsi="宋体" w:eastAsia="宋体" w:cs="宋体"/>
                <w:color w:val="000000"/>
                <w:sz w:val="18"/>
                <w:szCs w:val="18"/>
              </w:rPr>
              <w:t>3</w:t>
            </w:r>
            <w:r>
              <w:rPr>
                <w:rFonts w:ascii="宋体" w:hAnsi="宋体" w:eastAsia="宋体" w:cs="宋体"/>
                <w:color w:val="000000"/>
                <w:sz w:val="18"/>
                <w:szCs w:val="18"/>
              </w:rPr>
              <w:t>、</w:t>
            </w:r>
            <w:r>
              <w:rPr>
                <w:rFonts w:hint="eastAsia" w:ascii="宋体" w:hAnsi="宋体" w:eastAsia="宋体" w:cs="宋体"/>
                <w:color w:val="000000"/>
                <w:sz w:val="18"/>
                <w:szCs w:val="18"/>
              </w:rPr>
              <w:t>4.4</w:t>
            </w:r>
            <w:r>
              <w:rPr>
                <w:rFonts w:ascii="宋体" w:hAnsi="宋体" w:eastAsia="宋体" w:cs="宋体"/>
                <w:color w:val="000000"/>
                <w:sz w:val="18"/>
                <w:szCs w:val="18"/>
              </w:rPr>
              <w:t>。</w:t>
            </w:r>
          </w:p>
          <w:p>
            <w:pPr>
              <w:spacing w:line="240" w:lineRule="exact"/>
              <w:jc w:val="left"/>
              <w:rPr>
                <w:rFonts w:ascii="宋体" w:hAnsi="宋体" w:eastAsia="宋体" w:cs="宋体"/>
                <w:color w:val="000000"/>
                <w:sz w:val="18"/>
                <w:szCs w:val="18"/>
              </w:rPr>
            </w:pPr>
            <w:r>
              <w:rPr>
                <w:rFonts w:hint="eastAsia" w:ascii="宋体" w:hAnsi="宋体" w:eastAsia="宋体"/>
                <w:sz w:val="18"/>
                <w:szCs w:val="18"/>
              </w:rPr>
              <w:t>③</w:t>
            </w:r>
            <w:r>
              <w:rPr>
                <w:rFonts w:hint="eastAsia" w:ascii="宋体" w:hAnsi="宋体" w:eastAsia="宋体" w:cs="宋体"/>
                <w:color w:val="000000"/>
                <w:sz w:val="18"/>
                <w:szCs w:val="18"/>
              </w:rPr>
              <w:t>《安全生产法》第三十三条第一款、《金属非金属矿山安全规程》</w:t>
            </w:r>
            <w:r>
              <w:rPr>
                <w:rFonts w:ascii="宋体" w:hAnsi="宋体" w:eastAsia="宋体" w:cs="宋体"/>
                <w:color w:val="000000"/>
                <w:sz w:val="18"/>
                <w:szCs w:val="18"/>
              </w:rPr>
              <w:t>6.5.5.4</w:t>
            </w:r>
            <w:r>
              <w:rPr>
                <w:rFonts w:hint="eastAsia" w:ascii="宋体" w:hAnsi="宋体" w:eastAsia="宋体" w:cs="宋体"/>
                <w:color w:val="000000"/>
                <w:sz w:val="18"/>
                <w:szCs w:val="18"/>
              </w:rPr>
              <w:t>、《金属非金属地下矿山通信联络系统建设规范》（</w:t>
            </w:r>
            <w:r>
              <w:rPr>
                <w:rFonts w:ascii="宋体" w:hAnsi="宋体" w:eastAsia="宋体" w:cs="宋体"/>
                <w:color w:val="000000"/>
                <w:sz w:val="18"/>
                <w:szCs w:val="18"/>
              </w:rPr>
              <w:t>AQ203</w:t>
            </w:r>
            <w:r>
              <w:rPr>
                <w:rFonts w:hint="eastAsia" w:ascii="宋体" w:hAnsi="宋体" w:eastAsia="宋体" w:cs="宋体"/>
                <w:color w:val="000000"/>
                <w:sz w:val="18"/>
                <w:szCs w:val="18"/>
              </w:rPr>
              <w:t>6</w:t>
            </w:r>
            <w:r>
              <w:rPr>
                <w:rFonts w:ascii="宋体" w:hAnsi="宋体" w:eastAsia="宋体" w:cs="宋体"/>
                <w:color w:val="000000"/>
                <w:sz w:val="18"/>
                <w:szCs w:val="18"/>
              </w:rPr>
              <w:t>-2011</w:t>
            </w:r>
            <w:r>
              <w:rPr>
                <w:rFonts w:hint="eastAsia" w:ascii="宋体" w:hAnsi="宋体" w:eastAsia="宋体" w:cs="宋体"/>
                <w:color w:val="000000"/>
                <w:sz w:val="18"/>
                <w:szCs w:val="18"/>
              </w:rPr>
              <w:t>）4.5</w:t>
            </w:r>
            <w:r>
              <w:rPr>
                <w:rFonts w:ascii="宋体" w:hAnsi="宋体" w:eastAsia="宋体" w:cs="宋体"/>
                <w:color w:val="000000"/>
                <w:sz w:val="18"/>
                <w:szCs w:val="18"/>
              </w:rPr>
              <w:t>。</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1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①</w:t>
            </w:r>
            <w:r>
              <w:rPr>
                <w:rFonts w:ascii="宋体" w:hAnsi="宋体" w:eastAsia="宋体"/>
                <w:sz w:val="18"/>
                <w:szCs w:val="18"/>
              </w:rPr>
              <w:fldChar w:fldCharType="end"/>
            </w:r>
            <w:r>
              <w:rPr>
                <w:rFonts w:hint="eastAsia" w:ascii="宋体" w:hAnsi="宋体" w:eastAsia="宋体"/>
                <w:sz w:val="18"/>
                <w:szCs w:val="18"/>
              </w:rPr>
              <w:t>-</w:t>
            </w:r>
            <w:r>
              <w:rPr>
                <w:rFonts w:ascii="宋体" w:hAnsi="宋体" w:eastAsia="宋体"/>
                <w:sz w:val="18"/>
                <w:szCs w:val="18"/>
              </w:rPr>
              <w:fldChar w:fldCharType="begin"/>
            </w:r>
            <w:r>
              <w:rPr>
                <w:rFonts w:ascii="宋体" w:hAnsi="宋体" w:eastAsia="宋体"/>
                <w:sz w:val="18"/>
                <w:szCs w:val="18"/>
              </w:rPr>
              <w:instrText xml:space="preserve"> </w:instrText>
            </w:r>
            <w:r>
              <w:rPr>
                <w:rFonts w:hint="eastAsia" w:ascii="宋体" w:hAnsi="宋体" w:eastAsia="宋体"/>
                <w:sz w:val="18"/>
                <w:szCs w:val="18"/>
              </w:rPr>
              <w:instrText xml:space="preserve">= 2 \* GB3</w:instrText>
            </w:r>
            <w:r>
              <w:rPr>
                <w:rFonts w:ascii="宋体" w:hAnsi="宋体" w:eastAsia="宋体"/>
                <w:sz w:val="18"/>
                <w:szCs w:val="18"/>
              </w:rPr>
              <w:instrText xml:space="preserve"> </w:instrText>
            </w:r>
            <w:r>
              <w:rPr>
                <w:rFonts w:ascii="宋体" w:hAnsi="宋体" w:eastAsia="宋体"/>
                <w:sz w:val="18"/>
                <w:szCs w:val="18"/>
              </w:rPr>
              <w:fldChar w:fldCharType="separate"/>
            </w:r>
            <w:r>
              <w:rPr>
                <w:rFonts w:hint="eastAsia" w:ascii="宋体" w:hAnsi="宋体" w:eastAsia="宋体"/>
                <w:sz w:val="18"/>
                <w:szCs w:val="18"/>
              </w:rPr>
              <w:t>②</w:t>
            </w:r>
            <w:r>
              <w:rPr>
                <w:rFonts w:ascii="宋体" w:hAnsi="宋体" w:eastAsia="宋体"/>
                <w:sz w:val="18"/>
                <w:szCs w:val="18"/>
              </w:rPr>
              <w:fldChar w:fldCharType="end"/>
            </w:r>
            <w:r>
              <w:rPr>
                <w:rFonts w:ascii="宋体" w:hAnsi="宋体" w:eastAsia="宋体" w:cs="宋体"/>
                <w:color w:val="000000"/>
                <w:sz w:val="18"/>
                <w:szCs w:val="18"/>
              </w:rPr>
              <w:t>《安全生产法》第九十六条第（二）项</w:t>
            </w:r>
            <w:r>
              <w:rPr>
                <w:rFonts w:hint="eastAsia" w:ascii="宋体" w:hAnsi="宋体" w:eastAsia="宋体" w:cs="宋体"/>
                <w:color w:val="000000"/>
                <w:sz w:val="18"/>
                <w:szCs w:val="18"/>
              </w:rPr>
              <w:t>。</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ascii="宋体" w:hAnsi="宋体" w:eastAsia="宋体" w:cs="宋体"/>
                <w:color w:val="000000"/>
                <w:sz w:val="18"/>
                <w:szCs w:val="18"/>
              </w:rPr>
              <w:t>《安全生产法》第九十六条第（二）项</w:t>
            </w:r>
            <w:r>
              <w:rPr>
                <w:rFonts w:hint="eastAsia" w:ascii="宋体" w:hAnsi="宋体" w:eastAsia="宋体" w:cs="宋体"/>
                <w:color w:val="000000"/>
                <w:sz w:val="18"/>
                <w:szCs w:val="18"/>
              </w:rPr>
              <w:t>。</w:t>
            </w:r>
          </w:p>
        </w:tc>
      </w:tr>
    </w:tbl>
    <w:p>
      <w:pPr>
        <w:spacing w:line="240" w:lineRule="exact"/>
        <w:rPr>
          <w:rFonts w:ascii="Times New Roman" w:hAnsi="Times New Roman" w:eastAsia="仿宋" w:cs="Times New Roman"/>
          <w:sz w:val="32"/>
          <w:szCs w:val="32"/>
        </w:rPr>
      </w:pPr>
    </w:p>
    <w:p>
      <w:pPr>
        <w:tabs>
          <w:tab w:val="left" w:pos="1940"/>
        </w:tabs>
        <w:jc w:val="left"/>
        <w:rPr>
          <w:rFonts w:ascii="黑体" w:hAnsi="黑体" w:eastAsia="黑体" w:cs="黑体"/>
          <w:sz w:val="32"/>
          <w:szCs w:val="32"/>
        </w:rPr>
      </w:pPr>
      <w:r>
        <w:rPr>
          <w:rFonts w:ascii="Times New Roman" w:hAnsi="Times New Roman" w:eastAsia="仿宋" w:cs="Times New Roman"/>
          <w:sz w:val="32"/>
          <w:szCs w:val="32"/>
        </w:rPr>
        <w:br w:type="page"/>
      </w:r>
      <w:r>
        <w:rPr>
          <w:rFonts w:hint="eastAsia" w:ascii="黑体" w:hAnsi="黑体" w:eastAsia="黑体" w:cs="黑体"/>
          <w:sz w:val="32"/>
          <w:szCs w:val="32"/>
        </w:rPr>
        <w:t>附件3</w:t>
      </w:r>
    </w:p>
    <w:p>
      <w:pPr>
        <w:spacing w:after="295" w:afterLines="50"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尾矿库现场作业管理执法检查表</w:t>
      </w: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4"/>
        <w:gridCol w:w="4432"/>
        <w:gridCol w:w="2566"/>
        <w:gridCol w:w="2617"/>
        <w:gridCol w:w="26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blHeader/>
          <w:jc w:val="center"/>
        </w:trPr>
        <w:tc>
          <w:tcPr>
            <w:tcW w:w="684" w:type="dxa"/>
            <w:vAlign w:val="center"/>
          </w:tcPr>
          <w:p>
            <w:pPr>
              <w:spacing w:line="240" w:lineRule="exact"/>
              <w:jc w:val="center"/>
              <w:rPr>
                <w:rFonts w:ascii="黑体" w:hAnsi="黑体" w:eastAsia="黑体" w:cs="黑体"/>
                <w:color w:val="000000"/>
                <w:sz w:val="18"/>
                <w:szCs w:val="18"/>
              </w:rPr>
            </w:pPr>
            <w:r>
              <w:rPr>
                <w:rFonts w:hint="eastAsia" w:ascii="黑体" w:hAnsi="黑体" w:eastAsia="黑体" w:cs="黑体"/>
                <w:color w:val="000000"/>
                <w:sz w:val="18"/>
                <w:szCs w:val="18"/>
              </w:rPr>
              <w:t>序号</w:t>
            </w:r>
          </w:p>
        </w:tc>
        <w:tc>
          <w:tcPr>
            <w:tcW w:w="4432" w:type="dxa"/>
            <w:vAlign w:val="center"/>
          </w:tcPr>
          <w:p>
            <w:pPr>
              <w:spacing w:line="240" w:lineRule="exact"/>
              <w:jc w:val="center"/>
              <w:rPr>
                <w:rFonts w:ascii="黑体" w:hAnsi="黑体" w:eastAsia="黑体" w:cs="黑体"/>
                <w:color w:val="000000"/>
                <w:sz w:val="18"/>
                <w:szCs w:val="18"/>
              </w:rPr>
            </w:pPr>
            <w:r>
              <w:rPr>
                <w:rFonts w:hint="eastAsia" w:ascii="黑体" w:hAnsi="黑体" w:eastAsia="黑体" w:cs="黑体"/>
                <w:color w:val="000000"/>
                <w:sz w:val="18"/>
                <w:szCs w:val="18"/>
              </w:rPr>
              <w:t>检查内容</w:t>
            </w:r>
          </w:p>
        </w:tc>
        <w:tc>
          <w:tcPr>
            <w:tcW w:w="2566" w:type="dxa"/>
            <w:vAlign w:val="center"/>
          </w:tcPr>
          <w:p>
            <w:pPr>
              <w:spacing w:line="240" w:lineRule="exact"/>
              <w:jc w:val="center"/>
              <w:rPr>
                <w:rFonts w:ascii="黑体" w:hAnsi="黑体" w:eastAsia="黑体" w:cs="黑体"/>
                <w:color w:val="000000"/>
                <w:sz w:val="18"/>
                <w:szCs w:val="18"/>
              </w:rPr>
            </w:pPr>
            <w:r>
              <w:rPr>
                <w:rFonts w:hint="eastAsia" w:ascii="黑体" w:hAnsi="黑体" w:eastAsia="黑体" w:cs="黑体"/>
                <w:color w:val="000000"/>
                <w:sz w:val="18"/>
                <w:szCs w:val="18"/>
              </w:rPr>
              <w:t>检查方法</w:t>
            </w:r>
          </w:p>
        </w:tc>
        <w:tc>
          <w:tcPr>
            <w:tcW w:w="2617" w:type="dxa"/>
            <w:vAlign w:val="center"/>
          </w:tcPr>
          <w:p>
            <w:pPr>
              <w:spacing w:line="240" w:lineRule="exact"/>
              <w:jc w:val="center"/>
              <w:rPr>
                <w:rFonts w:ascii="黑体" w:hAnsi="黑体" w:eastAsia="黑体" w:cs="黑体"/>
                <w:color w:val="000000"/>
                <w:sz w:val="18"/>
                <w:szCs w:val="18"/>
              </w:rPr>
            </w:pPr>
            <w:r>
              <w:rPr>
                <w:rFonts w:hint="eastAsia" w:ascii="黑体" w:hAnsi="黑体" w:eastAsia="黑体" w:cs="黑体"/>
                <w:color w:val="000000"/>
                <w:sz w:val="18"/>
                <w:szCs w:val="18"/>
              </w:rPr>
              <w:t>执法依据</w:t>
            </w:r>
          </w:p>
        </w:tc>
        <w:tc>
          <w:tcPr>
            <w:tcW w:w="2627" w:type="dxa"/>
            <w:vAlign w:val="center"/>
          </w:tcPr>
          <w:p>
            <w:pPr>
              <w:spacing w:line="240" w:lineRule="exact"/>
              <w:jc w:val="center"/>
              <w:rPr>
                <w:rFonts w:ascii="黑体" w:hAnsi="黑体" w:eastAsia="黑体" w:cs="黑体"/>
                <w:color w:val="000000"/>
                <w:sz w:val="18"/>
                <w:szCs w:val="18"/>
              </w:rPr>
            </w:pPr>
            <w:r>
              <w:rPr>
                <w:rFonts w:hint="eastAsia" w:ascii="黑体" w:hAnsi="黑体" w:eastAsia="黑体" w:cs="黑体"/>
                <w:color w:val="000000"/>
                <w:sz w:val="18"/>
                <w:szCs w:val="18"/>
              </w:rPr>
              <w:t>处罚依据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0"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1</w:t>
            </w:r>
          </w:p>
        </w:tc>
        <w:tc>
          <w:tcPr>
            <w:tcW w:w="4432"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对生产运行的尾矿库，是否存在未经技术论证和安全生产监督管理部门的批准，设计以外的尾矿、废料或者废水进库等问题（存在此项问题的判定</w:t>
            </w:r>
            <w:r>
              <w:rPr>
                <w:rFonts w:ascii="宋体" w:hAnsi="宋体" w:eastAsia="宋体" w:cs="宋体"/>
                <w:color w:val="000000"/>
                <w:sz w:val="18"/>
                <w:szCs w:val="18"/>
              </w:rPr>
              <w:t>为重大事故隐患</w:t>
            </w:r>
            <w:r>
              <w:rPr>
                <w:rFonts w:hint="eastAsia" w:ascii="宋体" w:hAnsi="宋体" w:eastAsia="宋体" w:cs="宋体"/>
                <w:color w:val="000000"/>
                <w:sz w:val="18"/>
                <w:szCs w:val="18"/>
              </w:rPr>
              <w:t>）；</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是否存在未经生产经营单位进行技术论证并同意，以及尾矿库建设项目安全设施设计原审批部门批准，在库区从事爆破、采砂、地下采矿等危害尾矿库安全的作业问题。（库区和尾矿坝上存在未按批准的设计方案进行开采、挖掘、爆破等活动，判定为重大事故隐患）</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现场检查。</w:t>
            </w:r>
          </w:p>
        </w:tc>
        <w:tc>
          <w:tcPr>
            <w:tcW w:w="2617"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①《尾矿库安全监督管理规定》（国家安全生产监督管理总局令第38号）第十八条、《尾矿库安全技术规程》（</w:t>
            </w:r>
            <w:r>
              <w:rPr>
                <w:rFonts w:ascii="宋体" w:hAnsi="宋体" w:eastAsia="宋体" w:cs="宋体"/>
                <w:color w:val="000000"/>
                <w:sz w:val="18"/>
                <w:szCs w:val="18"/>
              </w:rPr>
              <w:t>AQ2006-2005</w:t>
            </w:r>
            <w:r>
              <w:rPr>
                <w:rFonts w:hint="eastAsia" w:ascii="宋体" w:hAnsi="宋体" w:eastAsia="宋体" w:cs="宋体"/>
                <w:color w:val="000000"/>
                <w:sz w:val="18"/>
                <w:szCs w:val="18"/>
              </w:rPr>
              <w:t>）</w:t>
            </w:r>
            <w:r>
              <w:rPr>
                <w:rFonts w:ascii="宋体" w:hAnsi="宋体" w:eastAsia="宋体" w:cs="宋体"/>
                <w:color w:val="000000"/>
                <w:sz w:val="18"/>
                <w:szCs w:val="18"/>
              </w:rPr>
              <w:t>7.3.</w:t>
            </w:r>
            <w:r>
              <w:rPr>
                <w:rFonts w:hint="eastAsia" w:ascii="宋体" w:hAnsi="宋体" w:eastAsia="宋体" w:cs="宋体"/>
                <w:color w:val="000000"/>
                <w:sz w:val="18"/>
                <w:szCs w:val="18"/>
              </w:rPr>
              <w:t>3。</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《尾矿库安全监督管理规定》二十六条</w:t>
            </w:r>
            <w:r>
              <w:rPr>
                <w:rFonts w:ascii="宋体" w:hAnsi="宋体" w:eastAsia="宋体" w:cs="宋体"/>
                <w:color w:val="000000"/>
                <w:sz w:val="18"/>
                <w:szCs w:val="18"/>
              </w:rPr>
              <w:t>、《尾矿库安全技术规程》</w:t>
            </w:r>
            <w:r>
              <w:rPr>
                <w:rFonts w:hint="eastAsia" w:ascii="宋体" w:hAnsi="宋体" w:eastAsia="宋体" w:cs="宋体"/>
                <w:color w:val="000000"/>
                <w:sz w:val="18"/>
                <w:szCs w:val="18"/>
              </w:rPr>
              <w:t>（</w:t>
            </w:r>
            <w:r>
              <w:rPr>
                <w:rFonts w:ascii="宋体" w:hAnsi="宋体" w:eastAsia="宋体" w:cs="宋体"/>
                <w:color w:val="000000"/>
                <w:sz w:val="18"/>
                <w:szCs w:val="18"/>
              </w:rPr>
              <w:t>AQ2006-2005</w:t>
            </w:r>
            <w:r>
              <w:rPr>
                <w:rFonts w:hint="eastAsia" w:ascii="宋体" w:hAnsi="宋体" w:eastAsia="宋体" w:cs="宋体"/>
                <w:color w:val="000000"/>
                <w:sz w:val="18"/>
                <w:szCs w:val="18"/>
              </w:rPr>
              <w:t>）</w:t>
            </w:r>
            <w:r>
              <w:rPr>
                <w:rFonts w:ascii="宋体" w:hAnsi="宋体" w:eastAsia="宋体" w:cs="宋体"/>
                <w:color w:val="000000"/>
                <w:sz w:val="18"/>
                <w:szCs w:val="18"/>
              </w:rPr>
              <w:t>7.3.3。</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《尾矿库安全监督管理规定》第四十条。</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ascii="宋体" w:hAnsi="宋体" w:eastAsia="宋体" w:cs="宋体"/>
                <w:color w:val="000000"/>
                <w:sz w:val="18"/>
                <w:szCs w:val="18"/>
              </w:rPr>
              <w:t>《尾矿库安全监督管理规定》第</w:t>
            </w:r>
            <w:r>
              <w:rPr>
                <w:rFonts w:hint="eastAsia" w:ascii="宋体" w:hAnsi="宋体" w:eastAsia="宋体" w:cs="宋体"/>
                <w:color w:val="000000"/>
                <w:sz w:val="18"/>
                <w:szCs w:val="18"/>
              </w:rPr>
              <w:t>三十九</w:t>
            </w:r>
            <w:r>
              <w:rPr>
                <w:rFonts w:ascii="宋体" w:hAnsi="宋体" w:eastAsia="宋体" w:cs="宋体"/>
                <w:color w:val="000000"/>
                <w:sz w:val="18"/>
                <w:szCs w:val="18"/>
              </w:rPr>
              <w:t>条</w:t>
            </w:r>
            <w:r>
              <w:rPr>
                <w:rFonts w:hint="eastAsia" w:ascii="宋体" w:hAnsi="宋体" w:eastAsia="宋体" w:cs="宋体"/>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2"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2</w:t>
            </w:r>
          </w:p>
        </w:tc>
        <w:tc>
          <w:tcPr>
            <w:tcW w:w="4432"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生产经营单位是否编制尾矿库年度、季度作业计划，是否严格按照作业计划生产运行，是否做好记录并长期保存。</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w:t>
            </w:r>
            <w:r>
              <w:rPr>
                <w:rFonts w:ascii="宋体" w:hAnsi="宋体" w:eastAsia="宋体" w:cs="宋体"/>
                <w:color w:val="000000"/>
                <w:sz w:val="18"/>
                <w:szCs w:val="18"/>
              </w:rPr>
              <w:t>作业计划、运行记录。</w:t>
            </w:r>
          </w:p>
        </w:tc>
        <w:tc>
          <w:tcPr>
            <w:tcW w:w="261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《尾矿库安全监督管理规定》第二十二条。</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ascii="宋体" w:hAnsi="宋体" w:eastAsia="宋体" w:cs="宋体"/>
                <w:color w:val="000000"/>
                <w:sz w:val="18"/>
                <w:szCs w:val="18"/>
              </w:rPr>
              <w:t>《尾矿库安全监督管理规定》第</w:t>
            </w:r>
            <w:r>
              <w:rPr>
                <w:rFonts w:hint="eastAsia" w:ascii="宋体" w:hAnsi="宋体" w:eastAsia="宋体" w:cs="宋体"/>
                <w:color w:val="000000"/>
                <w:sz w:val="18"/>
                <w:szCs w:val="18"/>
              </w:rPr>
              <w:t>三十九</w:t>
            </w:r>
            <w:r>
              <w:rPr>
                <w:rFonts w:ascii="宋体" w:hAnsi="宋体" w:eastAsia="宋体" w:cs="宋体"/>
                <w:color w:val="000000"/>
                <w:sz w:val="18"/>
                <w:szCs w:val="18"/>
              </w:rPr>
              <w:t>条</w:t>
            </w:r>
            <w:r>
              <w:rPr>
                <w:rFonts w:hint="eastAsia" w:ascii="宋体" w:hAnsi="宋体" w:eastAsia="宋体" w:cs="宋体"/>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7"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3</w:t>
            </w:r>
          </w:p>
        </w:tc>
        <w:tc>
          <w:tcPr>
            <w:tcW w:w="4432"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生产运行的尾矿库，是否存在未经技术论证和安全生产监督管理部门的批准，变更</w:t>
            </w:r>
            <w:r>
              <w:rPr>
                <w:rFonts w:ascii="宋体" w:hAnsi="宋体" w:eastAsia="宋体" w:cs="宋体"/>
                <w:color w:val="000000"/>
                <w:sz w:val="18"/>
                <w:szCs w:val="18"/>
              </w:rPr>
              <w:t>筑坝方式</w:t>
            </w:r>
            <w:r>
              <w:rPr>
                <w:rFonts w:hint="eastAsia" w:ascii="宋体" w:hAnsi="宋体" w:eastAsia="宋体" w:cs="宋体"/>
                <w:color w:val="000000"/>
                <w:sz w:val="18"/>
                <w:szCs w:val="18"/>
              </w:rPr>
              <w:t>、</w:t>
            </w:r>
            <w:r>
              <w:rPr>
                <w:rFonts w:ascii="宋体" w:hAnsi="宋体" w:eastAsia="宋体" w:cs="宋体"/>
                <w:color w:val="000000"/>
                <w:sz w:val="18"/>
                <w:szCs w:val="18"/>
              </w:rPr>
              <w:t>排放方式</w:t>
            </w:r>
            <w:r>
              <w:rPr>
                <w:rFonts w:hint="eastAsia" w:ascii="宋体" w:hAnsi="宋体" w:eastAsia="宋体" w:cs="宋体"/>
                <w:color w:val="000000"/>
                <w:sz w:val="18"/>
                <w:szCs w:val="18"/>
              </w:rPr>
              <w:t>、</w:t>
            </w:r>
            <w:r>
              <w:rPr>
                <w:rFonts w:ascii="宋体" w:hAnsi="宋体" w:eastAsia="宋体" w:cs="宋体"/>
                <w:color w:val="000000"/>
                <w:sz w:val="18"/>
                <w:szCs w:val="18"/>
              </w:rPr>
              <w:t>坝型、坝外坡坡比、最终堆积标高和最终坝轴线的位置</w:t>
            </w:r>
            <w:r>
              <w:rPr>
                <w:rFonts w:hint="eastAsia" w:ascii="宋体" w:hAnsi="宋体" w:eastAsia="宋体" w:cs="宋体"/>
                <w:color w:val="000000"/>
                <w:sz w:val="18"/>
                <w:szCs w:val="18"/>
              </w:rPr>
              <w:t>等问题；</w:t>
            </w:r>
          </w:p>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（坝外坡坡比陡于设计坡比、</w:t>
            </w:r>
            <w:r>
              <w:rPr>
                <w:rFonts w:ascii="宋体" w:hAnsi="宋体" w:eastAsia="宋体" w:cs="宋体"/>
                <w:color w:val="000000"/>
                <w:sz w:val="18"/>
                <w:szCs w:val="18"/>
              </w:rPr>
              <w:t>坝体超过设计坝高</w:t>
            </w:r>
            <w:r>
              <w:rPr>
                <w:rFonts w:hint="eastAsia" w:ascii="宋体" w:hAnsi="宋体" w:eastAsia="宋体" w:cs="宋体"/>
                <w:color w:val="000000"/>
                <w:sz w:val="18"/>
                <w:szCs w:val="18"/>
              </w:rPr>
              <w:t>判定为重大事故隐患）</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坝面是否按规定按设计设置排水沟。</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w:t>
            </w:r>
            <w:r>
              <w:rPr>
                <w:rFonts w:ascii="宋体" w:hAnsi="宋体" w:eastAsia="宋体" w:cs="宋体"/>
                <w:color w:val="000000"/>
                <w:sz w:val="18"/>
                <w:szCs w:val="18"/>
              </w:rPr>
              <w:t>设计、现状评价报告</w:t>
            </w:r>
            <w:r>
              <w:rPr>
                <w:rFonts w:hint="eastAsia" w:ascii="宋体" w:hAnsi="宋体" w:eastAsia="宋体" w:cs="宋体"/>
                <w:color w:val="000000"/>
                <w:sz w:val="18"/>
                <w:szCs w:val="18"/>
              </w:rPr>
              <w:t>，</w:t>
            </w:r>
            <w:r>
              <w:rPr>
                <w:rFonts w:ascii="宋体" w:hAnsi="宋体" w:eastAsia="宋体" w:cs="宋体"/>
                <w:color w:val="000000"/>
                <w:sz w:val="18"/>
                <w:szCs w:val="18"/>
              </w:rPr>
              <w:t>现场检查</w:t>
            </w:r>
            <w:r>
              <w:rPr>
                <w:rFonts w:hint="eastAsia" w:ascii="宋体" w:hAnsi="宋体" w:eastAsia="宋体" w:cs="宋体"/>
                <w:color w:val="000000"/>
                <w:sz w:val="18"/>
                <w:szCs w:val="18"/>
              </w:rPr>
              <w:t>，</w:t>
            </w:r>
            <w:r>
              <w:rPr>
                <w:rFonts w:ascii="宋体" w:hAnsi="宋体" w:eastAsia="宋体" w:cs="宋体"/>
                <w:color w:val="000000"/>
                <w:sz w:val="18"/>
                <w:szCs w:val="18"/>
              </w:rPr>
              <w:t>必要时现场勘验等。</w:t>
            </w:r>
          </w:p>
        </w:tc>
        <w:tc>
          <w:tcPr>
            <w:tcW w:w="2617"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①《尾矿库安全监督管理规定》第十八条</w:t>
            </w:r>
            <w:r>
              <w:rPr>
                <w:rFonts w:ascii="宋体" w:hAnsi="宋体" w:eastAsia="宋体" w:cs="宋体"/>
                <w:color w:val="000000"/>
                <w:sz w:val="18"/>
                <w:szCs w:val="18"/>
              </w:rPr>
              <w:t>。</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检查依据《尾矿库安全技术规程》（</w:t>
            </w:r>
            <w:r>
              <w:rPr>
                <w:rFonts w:ascii="宋体" w:hAnsi="宋体" w:eastAsia="宋体" w:cs="宋体"/>
                <w:color w:val="000000"/>
                <w:sz w:val="18"/>
                <w:szCs w:val="18"/>
              </w:rPr>
              <w:t>AQ2006-2005）8.4</w:t>
            </w:r>
            <w:r>
              <w:rPr>
                <w:rFonts w:hint="eastAsia" w:ascii="宋体" w:hAnsi="宋体" w:eastAsia="宋体" w:cs="宋体"/>
                <w:color w:val="000000"/>
                <w:sz w:val="18"/>
                <w:szCs w:val="18"/>
              </w:rPr>
              <w:t>。</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《尾矿库安全监督管理规定》第四十条。</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ascii="宋体" w:hAnsi="宋体" w:eastAsia="宋体" w:cs="宋体"/>
                <w:color w:val="000000"/>
                <w:sz w:val="18"/>
                <w:szCs w:val="18"/>
              </w:rPr>
              <w:t>责令限期整改</w:t>
            </w:r>
            <w:r>
              <w:rPr>
                <w:rFonts w:hint="eastAsia" w:ascii="宋体" w:hAnsi="宋体" w:cs="宋体"/>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4</w:t>
            </w:r>
          </w:p>
        </w:tc>
        <w:tc>
          <w:tcPr>
            <w:tcW w:w="4432"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一等、二等、三等尾矿库是否安装在线监测系统；</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一等、二等、三等、四等尾矿库是否按规定监测位移，浸润线、干滩、库水位、降水量等。五等尾矿库是否按规定监测位移、浸润线、干滩、库水位。监测数据是否连续、完整。（浸润线埋深小于控制浸润线埋深的</w:t>
            </w:r>
            <w:r>
              <w:rPr>
                <w:rFonts w:ascii="宋体" w:hAnsi="宋体" w:eastAsia="宋体" w:cs="宋体"/>
                <w:color w:val="000000"/>
                <w:sz w:val="18"/>
                <w:szCs w:val="18"/>
              </w:rPr>
              <w:t>为重大事故隐患</w:t>
            </w:r>
            <w:r>
              <w:rPr>
                <w:rFonts w:hint="eastAsia" w:ascii="宋体" w:hAnsi="宋体" w:eastAsia="宋体" w:cs="宋体"/>
                <w:color w:val="000000"/>
                <w:sz w:val="18"/>
                <w:szCs w:val="18"/>
              </w:rPr>
              <w:t>）</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现场</w:t>
            </w:r>
            <w:r>
              <w:rPr>
                <w:rFonts w:ascii="宋体" w:hAnsi="宋体" w:eastAsia="宋体" w:cs="宋体"/>
                <w:color w:val="000000"/>
                <w:sz w:val="18"/>
                <w:szCs w:val="18"/>
              </w:rPr>
              <w:t>检查</w:t>
            </w:r>
            <w:r>
              <w:rPr>
                <w:rFonts w:hint="eastAsia" w:ascii="宋体" w:hAnsi="宋体" w:eastAsia="宋体" w:cs="宋体"/>
                <w:color w:val="000000"/>
                <w:sz w:val="18"/>
                <w:szCs w:val="18"/>
              </w:rPr>
              <w:t>，</w:t>
            </w:r>
            <w:r>
              <w:rPr>
                <w:rFonts w:ascii="宋体" w:hAnsi="宋体" w:eastAsia="宋体" w:cs="宋体"/>
                <w:color w:val="000000"/>
                <w:sz w:val="18"/>
                <w:szCs w:val="18"/>
              </w:rPr>
              <w:t>查记录、台账。</w:t>
            </w:r>
          </w:p>
        </w:tc>
        <w:tc>
          <w:tcPr>
            <w:tcW w:w="261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《尾矿库安全监督管理规定》第八条第二款。</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检查依据《尾矿库安全监测技术规范》（</w:t>
            </w:r>
            <w:r>
              <w:rPr>
                <w:rFonts w:ascii="宋体" w:hAnsi="宋体" w:eastAsia="宋体" w:cs="宋体"/>
                <w:color w:val="000000"/>
                <w:sz w:val="18"/>
                <w:szCs w:val="18"/>
              </w:rPr>
              <w:t>AQ2030-2010</w:t>
            </w:r>
            <w:r>
              <w:rPr>
                <w:rFonts w:hint="eastAsia" w:ascii="宋体" w:hAnsi="宋体" w:eastAsia="宋体" w:cs="宋体"/>
                <w:color w:val="000000"/>
                <w:sz w:val="18"/>
                <w:szCs w:val="18"/>
              </w:rPr>
              <w:t>）</w:t>
            </w:r>
            <w:r>
              <w:rPr>
                <w:rFonts w:ascii="宋体" w:hAnsi="宋体" w:eastAsia="宋体" w:cs="宋体"/>
                <w:color w:val="000000"/>
                <w:sz w:val="18"/>
                <w:szCs w:val="18"/>
              </w:rPr>
              <w:t>4.4.1</w:t>
            </w:r>
            <w:r>
              <w:rPr>
                <w:rFonts w:hint="eastAsia" w:ascii="宋体" w:hAnsi="宋体" w:eastAsia="宋体" w:cs="宋体"/>
                <w:color w:val="000000"/>
                <w:sz w:val="18"/>
                <w:szCs w:val="18"/>
              </w:rPr>
              <w:t>。</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《尾矿库安全监督管理规定》第三十九条。</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ascii="宋体" w:hAnsi="宋体" w:eastAsia="宋体" w:cs="宋体"/>
                <w:color w:val="000000"/>
                <w:sz w:val="18"/>
                <w:szCs w:val="18"/>
              </w:rPr>
              <w:t>责令限期整改</w:t>
            </w:r>
            <w:r>
              <w:rPr>
                <w:rFonts w:hint="eastAsia" w:ascii="宋体" w:hAnsi="宋体" w:cs="宋体"/>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5"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5</w:t>
            </w:r>
          </w:p>
        </w:tc>
        <w:tc>
          <w:tcPr>
            <w:tcW w:w="4432"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①尾矿库是否按规定每三年至少进行一次安全现状评价；②上游式尾矿坝堆积至二分之一至三分之二最终设计坝高时，是否按规定对坝体进行一次全面勘察，并进行稳定性专项评价；（未按规定对坝体稳定性进行评估的为</w:t>
            </w:r>
            <w:r>
              <w:rPr>
                <w:rFonts w:ascii="宋体" w:hAnsi="宋体" w:eastAsia="宋体" w:cs="宋体"/>
                <w:color w:val="000000"/>
                <w:sz w:val="18"/>
                <w:szCs w:val="18"/>
              </w:rPr>
              <w:t>重大事故隐患</w:t>
            </w:r>
            <w:r>
              <w:rPr>
                <w:rFonts w:hint="eastAsia" w:ascii="宋体" w:hAnsi="宋体" w:eastAsia="宋体" w:cs="宋体"/>
                <w:color w:val="000000"/>
                <w:sz w:val="18"/>
                <w:szCs w:val="18"/>
              </w:rPr>
              <w:t>）</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尾矿库运行到设计最终标高的前</w:t>
            </w:r>
            <w:r>
              <w:rPr>
                <w:rFonts w:ascii="宋体" w:hAnsi="宋体" w:eastAsia="宋体" w:cs="宋体"/>
                <w:color w:val="000000"/>
                <w:sz w:val="18"/>
                <w:szCs w:val="18"/>
              </w:rPr>
              <w:t>12个月内，生产经营单位</w:t>
            </w:r>
            <w:r>
              <w:rPr>
                <w:rFonts w:hint="eastAsia" w:ascii="宋体" w:hAnsi="宋体" w:eastAsia="宋体" w:cs="宋体"/>
                <w:color w:val="000000"/>
                <w:sz w:val="18"/>
                <w:szCs w:val="18"/>
              </w:rPr>
              <w:t>是否按规定</w:t>
            </w:r>
            <w:r>
              <w:rPr>
                <w:rFonts w:ascii="宋体" w:hAnsi="宋体" w:eastAsia="宋体" w:cs="宋体"/>
                <w:color w:val="000000"/>
                <w:sz w:val="18"/>
                <w:szCs w:val="18"/>
              </w:rPr>
              <w:t>进行闭库前的安全现状评价和闭库设计，闭库设计应当包括安全设施设计。</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查设计</w:t>
            </w:r>
            <w:r>
              <w:rPr>
                <w:rFonts w:ascii="宋体" w:hAnsi="宋体" w:eastAsia="宋体" w:cs="宋体"/>
                <w:color w:val="000000"/>
                <w:sz w:val="18"/>
                <w:szCs w:val="18"/>
              </w:rPr>
              <w:t>、</w:t>
            </w:r>
            <w:r>
              <w:rPr>
                <w:rFonts w:hint="eastAsia" w:ascii="宋体" w:hAnsi="宋体" w:eastAsia="宋体" w:cs="宋体"/>
                <w:color w:val="000000"/>
                <w:sz w:val="18"/>
                <w:szCs w:val="18"/>
              </w:rPr>
              <w:t>现状</w:t>
            </w:r>
            <w:r>
              <w:rPr>
                <w:rFonts w:ascii="宋体" w:hAnsi="宋体" w:eastAsia="宋体" w:cs="宋体"/>
                <w:color w:val="000000"/>
                <w:sz w:val="18"/>
                <w:szCs w:val="18"/>
              </w:rPr>
              <w:t>评价报告、勘察报告、稳定性专项评价、闭库设计</w:t>
            </w:r>
            <w:r>
              <w:rPr>
                <w:rFonts w:hint="eastAsia" w:ascii="宋体" w:hAnsi="宋体" w:eastAsia="宋体" w:cs="宋体"/>
                <w:color w:val="000000"/>
                <w:sz w:val="18"/>
                <w:szCs w:val="18"/>
              </w:rPr>
              <w:t>等。</w:t>
            </w:r>
          </w:p>
        </w:tc>
        <w:tc>
          <w:tcPr>
            <w:tcW w:w="2617"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①-②《尾矿库安全监督管理规定》第十九条第一款、第二款。</w:t>
            </w:r>
          </w:p>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③《尾矿库安全监督管理规定》第二十九条第一款。</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《尾矿库安全监督管理规定》第三十九条。</w:t>
            </w:r>
          </w:p>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《尾矿库安全监督管理规定》第三十九条。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6</w:t>
            </w:r>
          </w:p>
        </w:tc>
        <w:tc>
          <w:tcPr>
            <w:tcW w:w="4432"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①坝体防渗、排渗及反滤层的设置是否</w:t>
            </w:r>
            <w:r>
              <w:rPr>
                <w:rFonts w:ascii="宋体" w:hAnsi="宋体" w:eastAsia="宋体" w:cs="宋体"/>
                <w:color w:val="000000"/>
                <w:sz w:val="18"/>
                <w:szCs w:val="18"/>
              </w:rPr>
              <w:t>符合设计要求</w:t>
            </w:r>
            <w:r>
              <w:rPr>
                <w:rFonts w:hint="eastAsia" w:ascii="宋体" w:hAnsi="宋体" w:eastAsia="宋体" w:cs="宋体"/>
                <w:color w:val="000000"/>
                <w:sz w:val="18"/>
                <w:szCs w:val="18"/>
              </w:rPr>
              <w:t>；</w:t>
            </w:r>
          </w:p>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②排洪系统的型式、布置及尺寸是否</w:t>
            </w:r>
            <w:r>
              <w:rPr>
                <w:rFonts w:ascii="宋体" w:hAnsi="宋体" w:eastAsia="宋体" w:cs="宋体"/>
                <w:color w:val="000000"/>
                <w:sz w:val="18"/>
                <w:szCs w:val="18"/>
              </w:rPr>
              <w:t>符合设计要求。</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w:t>
            </w:r>
            <w:r>
              <w:rPr>
                <w:rFonts w:ascii="宋体" w:hAnsi="宋体" w:eastAsia="宋体" w:cs="宋体"/>
                <w:color w:val="000000"/>
                <w:sz w:val="18"/>
                <w:szCs w:val="18"/>
              </w:rPr>
              <w:t>设计、现状评价</w:t>
            </w:r>
            <w:r>
              <w:rPr>
                <w:rFonts w:hint="eastAsia" w:ascii="宋体" w:hAnsi="宋体" w:eastAsia="宋体" w:cs="宋体"/>
                <w:color w:val="000000"/>
                <w:sz w:val="18"/>
                <w:szCs w:val="18"/>
              </w:rPr>
              <w:t>报告，</w:t>
            </w:r>
            <w:r>
              <w:rPr>
                <w:rFonts w:ascii="宋体" w:hAnsi="宋体" w:eastAsia="宋体" w:cs="宋体"/>
                <w:color w:val="000000"/>
                <w:sz w:val="18"/>
                <w:szCs w:val="18"/>
              </w:rPr>
              <w:t>现场</w:t>
            </w:r>
            <w:r>
              <w:rPr>
                <w:rFonts w:hint="eastAsia" w:ascii="宋体" w:hAnsi="宋体" w:eastAsia="宋体" w:cs="宋体"/>
                <w:color w:val="000000"/>
                <w:sz w:val="18"/>
                <w:szCs w:val="18"/>
              </w:rPr>
              <w:t>检查等</w:t>
            </w:r>
            <w:r>
              <w:rPr>
                <w:rFonts w:ascii="宋体" w:hAnsi="宋体" w:eastAsia="宋体" w:cs="宋体"/>
                <w:color w:val="000000"/>
                <w:sz w:val="18"/>
                <w:szCs w:val="18"/>
              </w:rPr>
              <w:t>。</w:t>
            </w:r>
          </w:p>
        </w:tc>
        <w:tc>
          <w:tcPr>
            <w:tcW w:w="2617"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①-②检查依据《尾矿库安全监督管理规定》第十八条第</w:t>
            </w:r>
            <w:r>
              <w:rPr>
                <w:rFonts w:ascii="宋体" w:hAnsi="宋体" w:eastAsia="宋体" w:cs="宋体"/>
                <w:color w:val="000000"/>
                <w:sz w:val="18"/>
                <w:szCs w:val="18"/>
              </w:rPr>
              <w:t>（</w:t>
            </w:r>
            <w:r>
              <w:rPr>
                <w:rFonts w:hint="eastAsia" w:ascii="宋体" w:hAnsi="宋体" w:eastAsia="宋体" w:cs="宋体"/>
                <w:color w:val="000000"/>
                <w:sz w:val="18"/>
                <w:szCs w:val="18"/>
              </w:rPr>
              <w:t>五</w:t>
            </w:r>
            <w:r>
              <w:rPr>
                <w:rFonts w:ascii="宋体" w:hAnsi="宋体" w:eastAsia="宋体" w:cs="宋体"/>
                <w:color w:val="000000"/>
                <w:sz w:val="18"/>
                <w:szCs w:val="18"/>
              </w:rPr>
              <w:t>）</w:t>
            </w:r>
            <w:r>
              <w:rPr>
                <w:rFonts w:hint="eastAsia" w:ascii="宋体" w:hAnsi="宋体" w:eastAsia="宋体" w:cs="宋体"/>
                <w:color w:val="000000"/>
                <w:sz w:val="18"/>
                <w:szCs w:val="18"/>
              </w:rPr>
              <w:t>、</w:t>
            </w:r>
            <w:r>
              <w:rPr>
                <w:rFonts w:ascii="宋体" w:hAnsi="宋体" w:eastAsia="宋体" w:cs="宋体"/>
                <w:color w:val="000000"/>
                <w:sz w:val="18"/>
                <w:szCs w:val="18"/>
              </w:rPr>
              <w:t>（</w:t>
            </w:r>
            <w:r>
              <w:rPr>
                <w:rFonts w:hint="eastAsia" w:ascii="宋体" w:hAnsi="宋体" w:eastAsia="宋体" w:cs="宋体"/>
                <w:color w:val="000000"/>
                <w:sz w:val="18"/>
                <w:szCs w:val="18"/>
              </w:rPr>
              <w:t>六</w:t>
            </w:r>
            <w:r>
              <w:rPr>
                <w:rFonts w:ascii="宋体" w:hAnsi="宋体" w:eastAsia="宋体" w:cs="宋体"/>
                <w:color w:val="000000"/>
                <w:sz w:val="18"/>
                <w:szCs w:val="18"/>
              </w:rPr>
              <w:t>）</w:t>
            </w:r>
            <w:r>
              <w:rPr>
                <w:rFonts w:hint="eastAsia" w:ascii="宋体" w:hAnsi="宋体" w:eastAsia="宋体" w:cs="宋体"/>
                <w:color w:val="000000"/>
                <w:sz w:val="18"/>
                <w:szCs w:val="18"/>
              </w:rPr>
              <w:t>项。</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2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②</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《尾矿库安全监督管理规定》第四十条。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7</w:t>
            </w:r>
          </w:p>
        </w:tc>
        <w:tc>
          <w:tcPr>
            <w:tcW w:w="4432"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①在排水构筑物上或尾矿库内适当地点，是否按规定设置清晰醒目的水位标尺；</w:t>
            </w:r>
          </w:p>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②安全超高和干滩长度是否符合设计规定；</w:t>
            </w:r>
          </w:p>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③坝肩是否按要求设置截水沟。</w:t>
            </w:r>
          </w:p>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（安全超高和干滩长度不符合设计规定判定为重大事故隐患）</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查设计</w:t>
            </w:r>
            <w:r>
              <w:rPr>
                <w:rFonts w:ascii="宋体" w:hAnsi="宋体" w:eastAsia="宋体" w:cs="宋体"/>
                <w:color w:val="000000"/>
                <w:sz w:val="18"/>
                <w:szCs w:val="18"/>
              </w:rPr>
              <w:t>、看现场、</w:t>
            </w:r>
            <w:r>
              <w:rPr>
                <w:rFonts w:hint="eastAsia" w:ascii="宋体" w:hAnsi="宋体" w:eastAsia="宋体" w:cs="宋体"/>
                <w:color w:val="000000"/>
                <w:sz w:val="18"/>
                <w:szCs w:val="18"/>
              </w:rPr>
              <w:t>现场</w:t>
            </w:r>
            <w:r>
              <w:rPr>
                <w:rFonts w:ascii="宋体" w:hAnsi="宋体" w:eastAsia="宋体" w:cs="宋体"/>
                <w:color w:val="000000"/>
                <w:sz w:val="18"/>
                <w:szCs w:val="18"/>
              </w:rPr>
              <w:t>勘验。</w:t>
            </w:r>
          </w:p>
        </w:tc>
        <w:tc>
          <w:tcPr>
            <w:tcW w:w="2617"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①《尾矿库安全技术规程》（</w:t>
            </w:r>
            <w:r>
              <w:rPr>
                <w:rFonts w:ascii="宋体" w:hAnsi="宋体" w:eastAsia="宋体" w:cs="宋体"/>
                <w:color w:val="000000"/>
                <w:sz w:val="18"/>
                <w:szCs w:val="18"/>
              </w:rPr>
              <w:t>AQ2006-2005</w:t>
            </w:r>
            <w:r>
              <w:rPr>
                <w:rFonts w:hint="eastAsia" w:ascii="宋体" w:hAnsi="宋体" w:eastAsia="宋体" w:cs="宋体"/>
                <w:color w:val="000000"/>
                <w:sz w:val="18"/>
                <w:szCs w:val="18"/>
              </w:rPr>
              <w:t>）</w:t>
            </w:r>
            <w:r>
              <w:rPr>
                <w:rFonts w:ascii="宋体" w:hAnsi="宋体" w:eastAsia="宋体" w:cs="宋体"/>
                <w:color w:val="000000"/>
                <w:sz w:val="18"/>
                <w:szCs w:val="18"/>
              </w:rPr>
              <w:t>5.4.12。</w:t>
            </w:r>
          </w:p>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②《尾矿库安全技术规程》（</w:t>
            </w:r>
            <w:r>
              <w:rPr>
                <w:rFonts w:ascii="宋体" w:hAnsi="宋体" w:eastAsia="宋体" w:cs="宋体"/>
                <w:color w:val="000000"/>
                <w:sz w:val="18"/>
                <w:szCs w:val="18"/>
              </w:rPr>
              <w:t>AQ2006-2005</w:t>
            </w:r>
            <w:r>
              <w:rPr>
                <w:rFonts w:hint="eastAsia" w:ascii="宋体" w:hAnsi="宋体" w:eastAsia="宋体" w:cs="宋体"/>
                <w:color w:val="000000"/>
                <w:sz w:val="18"/>
                <w:szCs w:val="18"/>
              </w:rPr>
              <w:t>）</w:t>
            </w:r>
            <w:r>
              <w:rPr>
                <w:rFonts w:ascii="宋体" w:hAnsi="宋体" w:eastAsia="宋体" w:cs="宋体"/>
                <w:color w:val="000000"/>
                <w:sz w:val="18"/>
                <w:szCs w:val="18"/>
              </w:rPr>
              <w:t>5.3.9</w:t>
            </w:r>
            <w:r>
              <w:rPr>
                <w:rFonts w:hint="eastAsia" w:ascii="宋体" w:hAnsi="宋体" w:eastAsia="宋体" w:cs="宋体"/>
                <w:color w:val="000000"/>
                <w:sz w:val="18"/>
                <w:szCs w:val="18"/>
              </w:rPr>
              <w:t>、5.3.10。</w:t>
            </w:r>
          </w:p>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③《尾矿库安全技术规程》</w:t>
            </w:r>
            <w:r>
              <w:rPr>
                <w:rFonts w:ascii="宋体" w:hAnsi="宋体" w:eastAsia="宋体" w:cs="宋体"/>
                <w:color w:val="000000"/>
                <w:sz w:val="18"/>
                <w:szCs w:val="18"/>
              </w:rPr>
              <w:t>5.3.24</w:t>
            </w:r>
            <w:r>
              <w:rPr>
                <w:rFonts w:hint="eastAsia" w:ascii="宋体" w:hAnsi="宋体" w:eastAsia="宋体" w:cs="宋体"/>
                <w:color w:val="000000"/>
                <w:sz w:val="18"/>
                <w:szCs w:val="18"/>
              </w:rPr>
              <w:t>。</w:t>
            </w:r>
          </w:p>
        </w:tc>
        <w:tc>
          <w:tcPr>
            <w:tcW w:w="2627" w:type="dxa"/>
            <w:vAlign w:val="center"/>
          </w:tcPr>
          <w:p>
            <w:pPr>
              <w:spacing w:line="240" w:lineRule="exact"/>
              <w:rPr>
                <w:rFonts w:ascii="宋体" w:hAnsi="宋体" w:eastAsia="宋体" w:cs="宋体"/>
                <w:color w:val="000000"/>
                <w:sz w:val="18"/>
                <w:szCs w:val="18"/>
              </w:rPr>
            </w:pP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1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①</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w:t>
            </w:r>
            <w:r>
              <w:rPr>
                <w:rFonts w:ascii="宋体" w:hAnsi="宋体" w:eastAsia="宋体" w:cs="宋体"/>
                <w:color w:val="000000"/>
                <w:sz w:val="18"/>
                <w:szCs w:val="18"/>
              </w:rPr>
              <w:fldChar w:fldCharType="begin"/>
            </w:r>
            <w:r>
              <w:rPr>
                <w:rFonts w:ascii="宋体" w:hAnsi="宋体" w:eastAsia="宋体" w:cs="宋体"/>
                <w:color w:val="000000"/>
                <w:sz w:val="18"/>
                <w:szCs w:val="18"/>
              </w:rPr>
              <w:instrText xml:space="preserve"> </w:instrText>
            </w:r>
            <w:r>
              <w:rPr>
                <w:rFonts w:hint="eastAsia" w:ascii="宋体" w:hAnsi="宋体" w:eastAsia="宋体" w:cs="宋体"/>
                <w:color w:val="000000"/>
                <w:sz w:val="18"/>
                <w:szCs w:val="18"/>
              </w:rPr>
              <w:instrText xml:space="preserve">= 3 \* GB3</w:instrText>
            </w:r>
            <w:r>
              <w:rPr>
                <w:rFonts w:ascii="宋体" w:hAnsi="宋体" w:eastAsia="宋体" w:cs="宋体"/>
                <w:color w:val="000000"/>
                <w:sz w:val="18"/>
                <w:szCs w:val="18"/>
              </w:rPr>
              <w:instrText xml:space="preserve"> </w:instrText>
            </w:r>
            <w:r>
              <w:rPr>
                <w:rFonts w:ascii="宋体" w:hAnsi="宋体" w:eastAsia="宋体" w:cs="宋体"/>
                <w:color w:val="000000"/>
                <w:sz w:val="18"/>
                <w:szCs w:val="18"/>
              </w:rPr>
              <w:fldChar w:fldCharType="separate"/>
            </w:r>
            <w:r>
              <w:rPr>
                <w:rFonts w:hint="eastAsia" w:ascii="宋体" w:hAnsi="宋体" w:eastAsia="宋体" w:cs="宋体"/>
                <w:color w:val="000000"/>
                <w:sz w:val="18"/>
                <w:szCs w:val="18"/>
              </w:rPr>
              <w:t>③</w:t>
            </w:r>
            <w:r>
              <w:rPr>
                <w:rFonts w:ascii="宋体" w:hAnsi="宋体" w:eastAsia="宋体" w:cs="宋体"/>
                <w:color w:val="000000"/>
                <w:sz w:val="18"/>
                <w:szCs w:val="18"/>
              </w:rPr>
              <w:fldChar w:fldCharType="end"/>
            </w:r>
            <w:r>
              <w:rPr>
                <w:rFonts w:hint="eastAsia" w:ascii="宋体" w:hAnsi="宋体" w:eastAsia="宋体" w:cs="宋体"/>
                <w:color w:val="000000"/>
                <w:sz w:val="18"/>
                <w:szCs w:val="18"/>
              </w:rPr>
              <w:t>责令限期整改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jc w:val="center"/>
        </w:trPr>
        <w:tc>
          <w:tcPr>
            <w:tcW w:w="684" w:type="dxa"/>
            <w:vAlign w:val="center"/>
          </w:tcPr>
          <w:p>
            <w:pPr>
              <w:spacing w:line="240" w:lineRule="exact"/>
              <w:jc w:val="center"/>
              <w:rPr>
                <w:rFonts w:ascii="宋体" w:hAnsi="宋体" w:eastAsia="宋体" w:cs="宋体"/>
                <w:color w:val="000000"/>
                <w:sz w:val="18"/>
                <w:szCs w:val="18"/>
              </w:rPr>
            </w:pPr>
            <w:r>
              <w:rPr>
                <w:rFonts w:hint="eastAsia" w:ascii="宋体" w:hAnsi="宋体" w:cs="宋体"/>
                <w:color w:val="000000"/>
                <w:sz w:val="18"/>
                <w:szCs w:val="18"/>
              </w:rPr>
              <w:t>8</w:t>
            </w:r>
          </w:p>
        </w:tc>
        <w:tc>
          <w:tcPr>
            <w:tcW w:w="4432"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①</w:t>
            </w:r>
            <w:r>
              <w:rPr>
                <w:rFonts w:ascii="宋体" w:hAnsi="宋体" w:eastAsia="宋体" w:cs="宋体"/>
                <w:color w:val="000000"/>
                <w:sz w:val="18"/>
                <w:szCs w:val="18"/>
              </w:rPr>
              <w:t>尾矿库运行到设计最终标高或者不再进行排尾作业的，</w:t>
            </w:r>
            <w:r>
              <w:rPr>
                <w:rFonts w:hint="eastAsia" w:ascii="宋体" w:hAnsi="宋体" w:eastAsia="宋体" w:cs="宋体"/>
                <w:color w:val="000000"/>
                <w:sz w:val="18"/>
                <w:szCs w:val="18"/>
              </w:rPr>
              <w:t>是否</w:t>
            </w:r>
            <w:r>
              <w:rPr>
                <w:rFonts w:ascii="宋体" w:hAnsi="宋体" w:eastAsia="宋体" w:cs="宋体"/>
                <w:color w:val="000000"/>
                <w:sz w:val="18"/>
                <w:szCs w:val="18"/>
              </w:rPr>
              <w:t>在一年内完成闭库。</w:t>
            </w:r>
          </w:p>
        </w:tc>
        <w:tc>
          <w:tcPr>
            <w:tcW w:w="2566"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查</w:t>
            </w:r>
            <w:r>
              <w:rPr>
                <w:rFonts w:ascii="宋体" w:hAnsi="宋体" w:eastAsia="宋体" w:cs="宋体"/>
                <w:color w:val="000000"/>
                <w:sz w:val="18"/>
                <w:szCs w:val="18"/>
              </w:rPr>
              <w:t>设计、现状评价</w:t>
            </w:r>
            <w:r>
              <w:rPr>
                <w:rFonts w:hint="eastAsia" w:ascii="宋体" w:hAnsi="宋体" w:eastAsia="宋体" w:cs="宋体"/>
                <w:color w:val="000000"/>
                <w:sz w:val="18"/>
                <w:szCs w:val="18"/>
              </w:rPr>
              <w:t>报告</w:t>
            </w:r>
            <w:r>
              <w:rPr>
                <w:rFonts w:ascii="宋体" w:hAnsi="宋体" w:eastAsia="宋体" w:cs="宋体"/>
                <w:color w:val="000000"/>
                <w:sz w:val="18"/>
                <w:szCs w:val="18"/>
              </w:rPr>
              <w:t>、运行记录</w:t>
            </w:r>
            <w:r>
              <w:rPr>
                <w:rFonts w:hint="eastAsia" w:ascii="宋体" w:hAnsi="宋体" w:eastAsia="宋体" w:cs="宋体"/>
                <w:color w:val="000000"/>
                <w:sz w:val="18"/>
                <w:szCs w:val="18"/>
              </w:rPr>
              <w:t>，</w:t>
            </w:r>
            <w:r>
              <w:rPr>
                <w:rFonts w:ascii="宋体" w:hAnsi="宋体" w:eastAsia="宋体" w:cs="宋体"/>
                <w:color w:val="000000"/>
                <w:sz w:val="18"/>
                <w:szCs w:val="18"/>
              </w:rPr>
              <w:t>现场</w:t>
            </w:r>
            <w:r>
              <w:rPr>
                <w:rFonts w:hint="eastAsia" w:ascii="宋体" w:hAnsi="宋体" w:eastAsia="宋体" w:cs="宋体"/>
                <w:color w:val="000000"/>
                <w:sz w:val="18"/>
                <w:szCs w:val="18"/>
              </w:rPr>
              <w:t>检查等</w:t>
            </w:r>
            <w:r>
              <w:rPr>
                <w:rFonts w:ascii="宋体" w:hAnsi="宋体" w:eastAsia="宋体" w:cs="宋体"/>
                <w:color w:val="000000"/>
                <w:sz w:val="18"/>
                <w:szCs w:val="18"/>
              </w:rPr>
              <w:t>。</w:t>
            </w:r>
          </w:p>
        </w:tc>
        <w:tc>
          <w:tcPr>
            <w:tcW w:w="2617" w:type="dxa"/>
            <w:vAlign w:val="center"/>
          </w:tcPr>
          <w:p>
            <w:pPr>
              <w:pStyle w:val="86"/>
              <w:spacing w:line="240" w:lineRule="exact"/>
              <w:ind w:firstLine="0" w:firstLineChars="0"/>
              <w:rPr>
                <w:rFonts w:ascii="宋体" w:hAnsi="宋体" w:eastAsia="宋体" w:cs="宋体"/>
                <w:color w:val="000000"/>
                <w:sz w:val="18"/>
                <w:szCs w:val="18"/>
              </w:rPr>
            </w:pPr>
            <w:r>
              <w:rPr>
                <w:rFonts w:hint="eastAsia" w:ascii="宋体" w:hAnsi="宋体" w:eastAsia="宋体" w:cs="宋体"/>
                <w:color w:val="000000"/>
                <w:sz w:val="18"/>
                <w:szCs w:val="18"/>
              </w:rPr>
              <w:t>①《尾矿库安全监督管理规定》第二十八条第一款。</w:t>
            </w:r>
          </w:p>
        </w:tc>
        <w:tc>
          <w:tcPr>
            <w:tcW w:w="2627" w:type="dxa"/>
            <w:vAlign w:val="center"/>
          </w:tcPr>
          <w:p>
            <w:pPr>
              <w:spacing w:line="240" w:lineRule="exact"/>
              <w:rPr>
                <w:rFonts w:ascii="宋体" w:hAnsi="宋体" w:eastAsia="宋体" w:cs="宋体"/>
                <w:color w:val="000000"/>
                <w:sz w:val="18"/>
                <w:szCs w:val="18"/>
              </w:rPr>
            </w:pPr>
            <w:r>
              <w:rPr>
                <w:rFonts w:hint="eastAsia" w:ascii="宋体" w:hAnsi="宋体" w:eastAsia="宋体" w:cs="宋体"/>
                <w:color w:val="000000"/>
                <w:sz w:val="18"/>
                <w:szCs w:val="18"/>
              </w:rPr>
              <w:t>①《尾矿库安全监督管理规定》第四十一条。</w:t>
            </w:r>
          </w:p>
        </w:tc>
      </w:tr>
    </w:tbl>
    <w:p>
      <w:pPr>
        <w:spacing w:line="360" w:lineRule="exact"/>
        <w:rPr>
          <w:rFonts w:ascii="Times New Roman" w:hAnsi="Times New Roman" w:eastAsia="仿宋" w:cs="Times New Roman"/>
          <w:sz w:val="32"/>
          <w:szCs w:val="32"/>
        </w:rPr>
      </w:pPr>
    </w:p>
    <w:p>
      <w:pPr>
        <w:rPr>
          <w:rFonts w:ascii="仿宋_GB2312" w:hAnsi="宋体" w:eastAsia="仿宋_GB2312" w:cs="宋体"/>
          <w:color w:val="000000"/>
          <w:kern w:val="0"/>
          <w:sz w:val="28"/>
          <w:szCs w:val="28"/>
        </w:rPr>
        <w:sectPr>
          <w:headerReference r:id="rId5" w:type="default"/>
          <w:footerReference r:id="rId6" w:type="default"/>
          <w:pgSz w:w="16838" w:h="11906" w:orient="landscape"/>
          <w:pgMar w:top="1587" w:right="2098" w:bottom="1474" w:left="1984" w:header="851" w:footer="992" w:gutter="0"/>
          <w:pgNumType w:fmt="numberInDash"/>
          <w:cols w:space="0" w:num="1"/>
          <w:docGrid w:type="lines" w:linePitch="590" w:charSpace="0"/>
        </w:sectPr>
      </w:pPr>
      <w:r>
        <w:rPr>
          <w:rFonts w:ascii="Times New Roman" w:hAnsi="Times New Roman" w:eastAsia="仿宋" w:cs="Times New Roman"/>
          <w:sz w:val="32"/>
          <w:szCs w:val="32"/>
        </w:rPr>
        <w:br w:type="page"/>
      </w:r>
    </w:p>
    <w:p>
      <w:pPr>
        <w:rPr>
          <w:rFonts w:ascii="黑体" w:hAnsi="黑体" w:eastAsia="黑体" w:cs="黑体"/>
          <w:bCs/>
          <w:sz w:val="32"/>
          <w:szCs w:val="32"/>
        </w:rPr>
      </w:pPr>
      <w:r>
        <w:rPr>
          <w:rFonts w:hint="eastAsia" w:ascii="黑体" w:hAnsi="黑体" w:eastAsia="黑体" w:cs="黑体"/>
          <w:bCs/>
          <w:sz w:val="32"/>
          <w:szCs w:val="32"/>
        </w:rPr>
        <w:t>附件4</w:t>
      </w:r>
    </w:p>
    <w:tbl>
      <w:tblPr>
        <w:tblStyle w:val="33"/>
        <w:tblW w:w="13849" w:type="dxa"/>
        <w:tblInd w:w="0" w:type="dxa"/>
        <w:tblLayout w:type="autofit"/>
        <w:tblCellMar>
          <w:top w:w="0" w:type="dxa"/>
          <w:left w:w="0" w:type="dxa"/>
          <w:bottom w:w="0" w:type="dxa"/>
          <w:right w:w="0" w:type="dxa"/>
        </w:tblCellMar>
      </w:tblPr>
      <w:tblGrid>
        <w:gridCol w:w="1309"/>
        <w:gridCol w:w="564"/>
        <w:gridCol w:w="564"/>
        <w:gridCol w:w="564"/>
        <w:gridCol w:w="564"/>
        <w:gridCol w:w="564"/>
        <w:gridCol w:w="564"/>
        <w:gridCol w:w="564"/>
        <w:gridCol w:w="564"/>
        <w:gridCol w:w="564"/>
        <w:gridCol w:w="564"/>
        <w:gridCol w:w="564"/>
        <w:gridCol w:w="564"/>
        <w:gridCol w:w="564"/>
        <w:gridCol w:w="564"/>
        <w:gridCol w:w="564"/>
        <w:gridCol w:w="564"/>
        <w:gridCol w:w="564"/>
        <w:gridCol w:w="564"/>
        <w:gridCol w:w="696"/>
        <w:gridCol w:w="564"/>
        <w:gridCol w:w="564"/>
        <w:gridCol w:w="564"/>
      </w:tblGrid>
      <w:tr>
        <w:tblPrEx>
          <w:tblCellMar>
            <w:top w:w="0" w:type="dxa"/>
            <w:left w:w="0" w:type="dxa"/>
            <w:bottom w:w="0" w:type="dxa"/>
            <w:right w:w="0" w:type="dxa"/>
          </w:tblCellMar>
        </w:tblPrEx>
        <w:trPr>
          <w:trHeight w:val="504" w:hRule="atLeast"/>
        </w:trPr>
        <w:tc>
          <w:tcPr>
            <w:tcW w:w="13849" w:type="dxa"/>
            <w:gridSpan w:val="23"/>
            <w:tcBorders>
              <w:top w:val="nil"/>
              <w:left w:val="nil"/>
              <w:bottom w:val="nil"/>
              <w:right w:val="nil"/>
            </w:tcBorders>
            <w:shd w:val="clear" w:color="auto" w:fill="auto"/>
            <w:noWrap/>
            <w:tcMar>
              <w:top w:w="12" w:type="dxa"/>
              <w:left w:w="12" w:type="dxa"/>
              <w:right w:w="12" w:type="dxa"/>
            </w:tcMar>
            <w:vAlign w:val="center"/>
          </w:tcPr>
          <w:p>
            <w:pPr>
              <w:widowControl/>
              <w:jc w:val="center"/>
              <w:textAlignment w:val="center"/>
              <w:rPr>
                <w:rFonts w:ascii="华文中宋" w:hAnsi="华文中宋" w:eastAsia="华文中宋" w:cs="华文中宋"/>
                <w:b/>
                <w:color w:val="000000"/>
                <w:sz w:val="36"/>
                <w:szCs w:val="36"/>
              </w:rPr>
            </w:pPr>
            <w:r>
              <w:rPr>
                <w:rFonts w:hint="eastAsia" w:ascii="华文中宋" w:hAnsi="华文中宋" w:eastAsia="华文中宋" w:cs="华文中宋"/>
                <w:b/>
                <w:color w:val="000000"/>
                <w:kern w:val="0"/>
                <w:sz w:val="36"/>
                <w:szCs w:val="36"/>
                <w:lang w:bidi="ar"/>
              </w:rPr>
              <w:t>非煤矿山安全生产隐患大排查快整治严执法专项行动工作进展情况统计表</w:t>
            </w:r>
          </w:p>
        </w:tc>
      </w:tr>
      <w:tr>
        <w:tblPrEx>
          <w:tblCellMar>
            <w:top w:w="0" w:type="dxa"/>
            <w:left w:w="0" w:type="dxa"/>
            <w:bottom w:w="0" w:type="dxa"/>
            <w:right w:w="0" w:type="dxa"/>
          </w:tblCellMar>
        </w:tblPrEx>
        <w:trPr>
          <w:trHeight w:val="560" w:hRule="atLeast"/>
        </w:trPr>
        <w:tc>
          <w:tcPr>
            <w:tcW w:w="0" w:type="auto"/>
            <w:gridSpan w:val="2"/>
            <w:tcBorders>
              <w:top w:val="nil"/>
              <w:left w:val="nil"/>
              <w:bottom w:val="nil"/>
              <w:right w:val="nil"/>
            </w:tcBorders>
            <w:shd w:val="clear" w:color="auto" w:fill="auto"/>
            <w:noWrap/>
            <w:tcMar>
              <w:top w:w="12" w:type="dxa"/>
              <w:left w:w="12" w:type="dxa"/>
              <w:right w:w="12" w:type="dxa"/>
            </w:tcMar>
            <w:vAlign w:val="center"/>
          </w:tcPr>
          <w:p>
            <w:pPr>
              <w:widowControl/>
              <w:ind w:firstLine="562" w:firstLineChars="200"/>
              <w:jc w:val="left"/>
              <w:textAlignment w:val="center"/>
              <w:rPr>
                <w:rFonts w:ascii="宋体" w:hAnsi="宋体" w:eastAsia="宋体" w:cs="宋体"/>
                <w:b/>
                <w:color w:val="000000"/>
                <w:sz w:val="28"/>
                <w:szCs w:val="28"/>
              </w:rPr>
            </w:pPr>
            <w:r>
              <w:rPr>
                <w:rFonts w:hint="eastAsia" w:ascii="宋体" w:hAnsi="宋体" w:eastAsia="宋体" w:cs="宋体"/>
                <w:b/>
                <w:color w:val="000000"/>
                <w:kern w:val="0"/>
                <w:sz w:val="28"/>
                <w:szCs w:val="28"/>
                <w:lang w:bidi="ar"/>
              </w:rPr>
              <w:t>区县：</w:t>
            </w:r>
          </w:p>
        </w:tc>
        <w:tc>
          <w:tcPr>
            <w:tcW w:w="0" w:type="auto"/>
            <w:tcBorders>
              <w:top w:val="nil"/>
              <w:left w:val="nil"/>
              <w:bottom w:val="nil"/>
              <w:right w:val="nil"/>
            </w:tcBorders>
            <w:shd w:val="clear" w:color="auto" w:fill="auto"/>
            <w:noWrap/>
            <w:tcMar>
              <w:top w:w="12" w:type="dxa"/>
              <w:left w:w="12" w:type="dxa"/>
              <w:right w:w="12" w:type="dxa"/>
            </w:tcMar>
            <w:vAlign w:val="center"/>
          </w:tcPr>
          <w:p>
            <w:pPr>
              <w:rPr>
                <w:rFonts w:ascii="宋体" w:hAnsi="宋体" w:eastAsia="宋体" w:cs="宋体"/>
                <w:b/>
                <w:color w:val="000000"/>
                <w:sz w:val="22"/>
                <w:szCs w:val="22"/>
              </w:rPr>
            </w:pPr>
          </w:p>
        </w:tc>
        <w:tc>
          <w:tcPr>
            <w:tcW w:w="0" w:type="auto"/>
            <w:tcBorders>
              <w:top w:val="nil"/>
              <w:left w:val="nil"/>
              <w:bottom w:val="nil"/>
              <w:right w:val="nil"/>
            </w:tcBorders>
            <w:shd w:val="clear" w:color="auto" w:fill="auto"/>
            <w:noWrap/>
            <w:tcMar>
              <w:top w:w="12" w:type="dxa"/>
              <w:left w:w="12" w:type="dxa"/>
              <w:right w:w="12" w:type="dxa"/>
            </w:tcMar>
            <w:vAlign w:val="center"/>
          </w:tcPr>
          <w:p>
            <w:pPr>
              <w:rPr>
                <w:rFonts w:ascii="宋体" w:hAnsi="宋体" w:eastAsia="宋体" w:cs="宋体"/>
                <w:b/>
                <w:color w:val="000000"/>
                <w:sz w:val="22"/>
                <w:szCs w:val="22"/>
              </w:rPr>
            </w:pPr>
          </w:p>
        </w:tc>
        <w:tc>
          <w:tcPr>
            <w:tcW w:w="0" w:type="auto"/>
            <w:tcBorders>
              <w:top w:val="nil"/>
              <w:left w:val="nil"/>
              <w:bottom w:val="nil"/>
              <w:right w:val="nil"/>
            </w:tcBorders>
            <w:shd w:val="clear" w:color="auto" w:fill="auto"/>
            <w:noWrap/>
            <w:tcMar>
              <w:top w:w="12" w:type="dxa"/>
              <w:left w:w="12" w:type="dxa"/>
              <w:right w:w="12" w:type="dxa"/>
            </w:tcMar>
            <w:vAlign w:val="center"/>
          </w:tcPr>
          <w:p>
            <w:pPr>
              <w:rPr>
                <w:rFonts w:ascii="宋体" w:hAnsi="宋体" w:eastAsia="宋体" w:cs="宋体"/>
                <w:b/>
                <w:color w:val="000000"/>
                <w:sz w:val="22"/>
                <w:szCs w:val="22"/>
              </w:rPr>
            </w:pPr>
          </w:p>
        </w:tc>
        <w:tc>
          <w:tcPr>
            <w:tcW w:w="0" w:type="auto"/>
            <w:tcBorders>
              <w:top w:val="nil"/>
              <w:left w:val="nil"/>
              <w:bottom w:val="nil"/>
              <w:right w:val="nil"/>
            </w:tcBorders>
            <w:shd w:val="clear" w:color="auto" w:fill="auto"/>
            <w:noWrap/>
            <w:tcMar>
              <w:top w:w="12" w:type="dxa"/>
              <w:left w:w="12" w:type="dxa"/>
              <w:right w:w="12" w:type="dxa"/>
            </w:tcMar>
            <w:vAlign w:val="center"/>
          </w:tcPr>
          <w:p>
            <w:pPr>
              <w:rPr>
                <w:rFonts w:ascii="宋体" w:hAnsi="宋体" w:eastAsia="宋体" w:cs="宋体"/>
                <w:b/>
                <w:color w:val="000000"/>
                <w:sz w:val="22"/>
                <w:szCs w:val="22"/>
              </w:rPr>
            </w:pPr>
          </w:p>
        </w:tc>
        <w:tc>
          <w:tcPr>
            <w:tcW w:w="0" w:type="auto"/>
            <w:tcBorders>
              <w:top w:val="nil"/>
              <w:left w:val="nil"/>
              <w:bottom w:val="nil"/>
              <w:right w:val="nil"/>
            </w:tcBorders>
            <w:shd w:val="clear" w:color="auto" w:fill="auto"/>
            <w:noWrap/>
            <w:tcMar>
              <w:top w:w="12" w:type="dxa"/>
              <w:left w:w="12" w:type="dxa"/>
              <w:right w:w="12" w:type="dxa"/>
            </w:tcMar>
            <w:vAlign w:val="center"/>
          </w:tcPr>
          <w:p>
            <w:pPr>
              <w:rPr>
                <w:rFonts w:ascii="宋体" w:hAnsi="宋体" w:eastAsia="宋体" w:cs="宋体"/>
                <w:b/>
                <w:color w:val="000000"/>
                <w:sz w:val="22"/>
                <w:szCs w:val="22"/>
              </w:rPr>
            </w:pPr>
          </w:p>
        </w:tc>
        <w:tc>
          <w:tcPr>
            <w:tcW w:w="0" w:type="auto"/>
            <w:tcBorders>
              <w:top w:val="nil"/>
              <w:left w:val="nil"/>
              <w:bottom w:val="nil"/>
              <w:right w:val="nil"/>
            </w:tcBorders>
            <w:shd w:val="clear" w:color="auto" w:fill="auto"/>
            <w:noWrap/>
            <w:tcMar>
              <w:top w:w="12" w:type="dxa"/>
              <w:left w:w="12" w:type="dxa"/>
              <w:right w:w="12" w:type="dxa"/>
            </w:tcMar>
            <w:vAlign w:val="center"/>
          </w:tcPr>
          <w:p>
            <w:pPr>
              <w:rPr>
                <w:rFonts w:ascii="宋体" w:hAnsi="宋体" w:eastAsia="宋体" w:cs="宋体"/>
                <w:b/>
                <w:color w:val="000000"/>
                <w:sz w:val="22"/>
                <w:szCs w:val="22"/>
              </w:rPr>
            </w:pPr>
          </w:p>
        </w:tc>
        <w:tc>
          <w:tcPr>
            <w:tcW w:w="0" w:type="auto"/>
            <w:tcBorders>
              <w:top w:val="nil"/>
              <w:left w:val="nil"/>
              <w:bottom w:val="nil"/>
              <w:right w:val="nil"/>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gridSpan w:val="3"/>
            <w:tcBorders>
              <w:top w:val="nil"/>
              <w:left w:val="nil"/>
              <w:bottom w:val="single" w:color="000000" w:sz="4" w:space="0"/>
              <w:right w:val="nil"/>
            </w:tcBorders>
            <w:shd w:val="clear" w:color="auto" w:fill="auto"/>
            <w:noWrap/>
            <w:tcMar>
              <w:top w:w="12" w:type="dxa"/>
              <w:left w:w="12" w:type="dxa"/>
              <w:right w:w="12" w:type="dxa"/>
            </w:tcMar>
            <w:vAlign w:val="center"/>
          </w:tcPr>
          <w:p>
            <w:pPr>
              <w:jc w:val="center"/>
              <w:rPr>
                <w:rFonts w:ascii="宋体" w:hAnsi="宋体" w:eastAsia="宋体" w:cs="宋体"/>
                <w:b/>
                <w:color w:val="000000"/>
                <w:sz w:val="22"/>
                <w:szCs w:val="22"/>
              </w:rPr>
            </w:pPr>
          </w:p>
        </w:tc>
        <w:tc>
          <w:tcPr>
            <w:tcW w:w="0" w:type="auto"/>
            <w:tcBorders>
              <w:top w:val="nil"/>
              <w:left w:val="nil"/>
              <w:bottom w:val="single" w:color="000000" w:sz="4" w:space="0"/>
              <w:right w:val="nil"/>
            </w:tcBorders>
            <w:shd w:val="clear" w:color="auto" w:fill="auto"/>
            <w:noWrap/>
            <w:tcMar>
              <w:top w:w="12" w:type="dxa"/>
              <w:left w:w="12" w:type="dxa"/>
              <w:right w:w="12" w:type="dxa"/>
            </w:tcMar>
            <w:vAlign w:val="center"/>
          </w:tcPr>
          <w:p>
            <w:pPr>
              <w:rPr>
                <w:rFonts w:ascii="宋体" w:hAnsi="宋体" w:eastAsia="宋体" w:cs="宋体"/>
                <w:b/>
                <w:color w:val="000000"/>
                <w:sz w:val="22"/>
                <w:szCs w:val="22"/>
              </w:rPr>
            </w:pPr>
          </w:p>
        </w:tc>
        <w:tc>
          <w:tcPr>
            <w:tcW w:w="0" w:type="auto"/>
            <w:tcBorders>
              <w:top w:val="nil"/>
              <w:left w:val="nil"/>
              <w:bottom w:val="single" w:color="000000" w:sz="4" w:space="0"/>
              <w:right w:val="nil"/>
            </w:tcBorders>
            <w:shd w:val="clear" w:color="auto" w:fill="auto"/>
            <w:noWrap/>
            <w:tcMar>
              <w:top w:w="12" w:type="dxa"/>
              <w:left w:w="12" w:type="dxa"/>
              <w:right w:w="12" w:type="dxa"/>
            </w:tcMar>
            <w:vAlign w:val="center"/>
          </w:tcPr>
          <w:p>
            <w:pPr>
              <w:rPr>
                <w:rFonts w:ascii="宋体" w:hAnsi="宋体" w:eastAsia="宋体" w:cs="宋体"/>
                <w:b/>
                <w:color w:val="000000"/>
                <w:sz w:val="22"/>
                <w:szCs w:val="22"/>
              </w:rPr>
            </w:pPr>
          </w:p>
        </w:tc>
        <w:tc>
          <w:tcPr>
            <w:tcW w:w="0" w:type="auto"/>
            <w:tcBorders>
              <w:top w:val="nil"/>
              <w:left w:val="nil"/>
              <w:bottom w:val="nil"/>
              <w:right w:val="nil"/>
            </w:tcBorders>
            <w:shd w:val="clear" w:color="auto" w:fill="auto"/>
            <w:noWrap/>
            <w:tcMar>
              <w:top w:w="12" w:type="dxa"/>
              <w:left w:w="12" w:type="dxa"/>
              <w:right w:w="12" w:type="dxa"/>
            </w:tcMar>
            <w:vAlign w:val="center"/>
          </w:tcPr>
          <w:p>
            <w:pPr>
              <w:rPr>
                <w:rFonts w:ascii="宋体" w:hAnsi="宋体" w:eastAsia="宋体" w:cs="宋体"/>
                <w:color w:val="000000"/>
                <w:sz w:val="22"/>
                <w:szCs w:val="22"/>
              </w:rPr>
            </w:pPr>
          </w:p>
        </w:tc>
        <w:tc>
          <w:tcPr>
            <w:tcW w:w="0" w:type="auto"/>
            <w:tcBorders>
              <w:top w:val="nil"/>
              <w:left w:val="nil"/>
              <w:bottom w:val="nil"/>
              <w:right w:val="nil"/>
            </w:tcBorders>
            <w:shd w:val="clear" w:color="auto" w:fill="auto"/>
            <w:noWrap/>
            <w:tcMar>
              <w:top w:w="12" w:type="dxa"/>
              <w:left w:w="12" w:type="dxa"/>
              <w:right w:w="12" w:type="dxa"/>
            </w:tcMar>
            <w:vAlign w:val="center"/>
          </w:tcPr>
          <w:p>
            <w:pPr>
              <w:rPr>
                <w:rFonts w:ascii="宋体" w:hAnsi="宋体" w:eastAsia="宋体" w:cs="宋体"/>
                <w:b/>
                <w:color w:val="000000"/>
                <w:sz w:val="22"/>
                <w:szCs w:val="22"/>
              </w:rPr>
            </w:pPr>
          </w:p>
        </w:tc>
        <w:tc>
          <w:tcPr>
            <w:tcW w:w="0" w:type="auto"/>
            <w:gridSpan w:val="7"/>
            <w:tcBorders>
              <w:top w:val="nil"/>
              <w:left w:val="nil"/>
              <w:bottom w:val="nil"/>
              <w:right w:val="nil"/>
            </w:tcBorders>
            <w:shd w:val="clear" w:color="auto" w:fill="auto"/>
            <w:noWrap/>
            <w:tcMar>
              <w:top w:w="12" w:type="dxa"/>
              <w:left w:w="12" w:type="dxa"/>
              <w:right w:w="12" w:type="dxa"/>
            </w:tcMar>
            <w:vAlign w:val="center"/>
          </w:tcPr>
          <w:p>
            <w:pPr>
              <w:widowControl/>
              <w:jc w:val="left"/>
              <w:textAlignment w:val="center"/>
              <w:rPr>
                <w:rFonts w:ascii="楷体_GB2312" w:hAnsi="宋体" w:eastAsia="楷体_GB2312" w:cs="楷体_GB2312"/>
                <w:color w:val="000000"/>
                <w:sz w:val="28"/>
                <w:szCs w:val="28"/>
              </w:rPr>
            </w:pPr>
            <w:r>
              <w:rPr>
                <w:rFonts w:hint="eastAsia" w:ascii="宋体" w:hAnsi="宋体" w:eastAsia="宋体" w:cs="宋体"/>
                <w:color w:val="000000"/>
                <w:kern w:val="0"/>
                <w:sz w:val="28"/>
                <w:szCs w:val="28"/>
                <w:lang w:bidi="ar"/>
              </w:rPr>
              <w:t>截至日期：  年   月  日</w:t>
            </w:r>
          </w:p>
        </w:tc>
      </w:tr>
      <w:tr>
        <w:tblPrEx>
          <w:tblCellMar>
            <w:top w:w="0" w:type="dxa"/>
            <w:left w:w="0" w:type="dxa"/>
            <w:bottom w:w="0" w:type="dxa"/>
            <w:right w:w="0" w:type="dxa"/>
          </w:tblCellMar>
        </w:tblPrEx>
        <w:trPr>
          <w:trHeight w:val="312" w:hRule="atLeast"/>
        </w:trPr>
        <w:tc>
          <w:tcPr>
            <w:tcW w:w="130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lang w:bidi="ar"/>
              </w:rPr>
              <w:t>项  目</w:t>
            </w:r>
          </w:p>
        </w:tc>
        <w:tc>
          <w:tcPr>
            <w:tcW w:w="169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lang w:bidi="ar"/>
              </w:rPr>
              <w:t>发现主要问题                                （党委政府及部门层面）</w:t>
            </w:r>
          </w:p>
        </w:tc>
        <w:tc>
          <w:tcPr>
            <w:tcW w:w="3948" w:type="dxa"/>
            <w:gridSpan w:val="7"/>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SimSun-ExtB" w:hAnsi="SimSun-ExtB" w:eastAsia="SimSun-ExtB" w:cs="SimSun-ExtB"/>
                <w:b/>
                <w:color w:val="000000"/>
                <w:sz w:val="18"/>
                <w:szCs w:val="18"/>
              </w:rPr>
            </w:pPr>
            <w:r>
              <w:rPr>
                <w:rFonts w:hint="eastAsia" w:ascii="SimSun-ExtB" w:hAnsi="SimSun-ExtB" w:eastAsia="SimSun-ExtB" w:cs="SimSun-ExtB"/>
                <w:b/>
                <w:color w:val="000000"/>
                <w:kern w:val="0"/>
                <w:sz w:val="18"/>
                <w:szCs w:val="18"/>
                <w:lang w:bidi="ar"/>
              </w:rPr>
              <w:t>排查整治隐患（企业层面）</w:t>
            </w:r>
          </w:p>
        </w:tc>
        <w:tc>
          <w:tcPr>
            <w:tcW w:w="2256" w:type="dxa"/>
            <w:gridSpan w:val="4"/>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SimSun-ExtB" w:hAnsi="SimSun-ExtB" w:eastAsia="SimSun-ExtB" w:cs="SimSun-ExtB"/>
                <w:b/>
                <w:color w:val="000000"/>
                <w:sz w:val="18"/>
                <w:szCs w:val="18"/>
              </w:rPr>
            </w:pPr>
            <w:r>
              <w:rPr>
                <w:rFonts w:hint="eastAsia" w:ascii="SimSun-ExtB" w:hAnsi="SimSun-ExtB" w:eastAsia="SimSun-ExtB" w:cs="SimSun-ExtB"/>
                <w:b/>
                <w:color w:val="000000"/>
                <w:kern w:val="0"/>
                <w:sz w:val="18"/>
                <w:szCs w:val="18"/>
                <w:lang w:bidi="ar"/>
              </w:rPr>
              <w:t>开展督导检查</w:t>
            </w:r>
          </w:p>
        </w:tc>
        <w:tc>
          <w:tcPr>
            <w:tcW w:w="3516" w:type="dxa"/>
            <w:gridSpan w:val="6"/>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SimSun-ExtB" w:hAnsi="SimSun-ExtB" w:eastAsia="SimSun-ExtB" w:cs="SimSun-ExtB"/>
                <w:b/>
                <w:color w:val="000000"/>
                <w:sz w:val="18"/>
                <w:szCs w:val="18"/>
              </w:rPr>
            </w:pPr>
            <w:r>
              <w:rPr>
                <w:rFonts w:hint="eastAsia" w:ascii="SimSun-ExtB" w:hAnsi="SimSun-ExtB" w:eastAsia="SimSun-ExtB" w:cs="SimSun-ExtB"/>
                <w:b/>
                <w:color w:val="000000"/>
                <w:kern w:val="0"/>
                <w:sz w:val="18"/>
                <w:szCs w:val="18"/>
                <w:lang w:bidi="ar"/>
              </w:rPr>
              <w:t>执法处罚</w:t>
            </w:r>
          </w:p>
        </w:tc>
        <w:tc>
          <w:tcPr>
            <w:tcW w:w="5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SimSun-ExtB" w:hAnsi="SimSun-ExtB" w:eastAsia="SimSun-ExtB" w:cs="SimSun-ExtB"/>
                <w:b/>
                <w:color w:val="000000"/>
                <w:sz w:val="18"/>
                <w:szCs w:val="18"/>
              </w:rPr>
            </w:pPr>
            <w:r>
              <w:rPr>
                <w:rFonts w:hint="eastAsia" w:ascii="SimSun-ExtB" w:hAnsi="SimSun-ExtB" w:eastAsia="SimSun-ExtB" w:cs="SimSun-ExtB"/>
                <w:b/>
                <w:color w:val="000000"/>
                <w:kern w:val="0"/>
                <w:sz w:val="18"/>
                <w:szCs w:val="18"/>
                <w:lang w:bidi="ar"/>
              </w:rPr>
              <w:t xml:space="preserve">约谈      警示 </w:t>
            </w:r>
          </w:p>
        </w:tc>
        <w:tc>
          <w:tcPr>
            <w:tcW w:w="5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SimSun-ExtB" w:hAnsi="SimSun-ExtB" w:eastAsia="SimSun-ExtB" w:cs="SimSun-ExtB"/>
                <w:b/>
                <w:color w:val="000000"/>
                <w:sz w:val="18"/>
                <w:szCs w:val="18"/>
              </w:rPr>
            </w:pPr>
            <w:r>
              <w:rPr>
                <w:rFonts w:hint="eastAsia" w:ascii="SimSun-ExtB" w:hAnsi="SimSun-ExtB" w:eastAsia="SimSun-ExtB" w:cs="SimSun-ExtB"/>
                <w:b/>
                <w:color w:val="000000"/>
                <w:kern w:val="0"/>
                <w:sz w:val="18"/>
                <w:szCs w:val="18"/>
                <w:lang w:bidi="ar"/>
              </w:rPr>
              <w:t xml:space="preserve">联合     惩戒 </w:t>
            </w:r>
          </w:p>
        </w:tc>
      </w:tr>
      <w:tr>
        <w:tblPrEx>
          <w:tblCellMar>
            <w:top w:w="0" w:type="dxa"/>
            <w:left w:w="0" w:type="dxa"/>
            <w:bottom w:w="0" w:type="dxa"/>
            <w:right w:w="0" w:type="dxa"/>
          </w:tblCellMar>
        </w:tblPrEx>
        <w:trPr>
          <w:trHeight w:val="512" w:hRule="atLeast"/>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b/>
                <w:color w:val="000000"/>
                <w:sz w:val="18"/>
                <w:szCs w:val="18"/>
              </w:rPr>
            </w:pPr>
          </w:p>
        </w:tc>
        <w:tc>
          <w:tcPr>
            <w:tcW w:w="169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宋体" w:hAnsi="宋体" w:eastAsia="宋体" w:cs="宋体"/>
                <w:b/>
                <w:color w:val="000000"/>
                <w:kern w:val="0"/>
                <w:sz w:val="18"/>
                <w:szCs w:val="18"/>
                <w:lang w:bidi="ar"/>
              </w:rPr>
            </w:pPr>
          </w:p>
        </w:tc>
        <w:tc>
          <w:tcPr>
            <w:tcW w:w="5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宋体" w:hAnsi="宋体" w:eastAsia="宋体" w:cs="宋体"/>
                <w:b/>
                <w:color w:val="000000"/>
                <w:kern w:val="0"/>
                <w:sz w:val="18"/>
                <w:szCs w:val="18"/>
                <w:lang w:bidi="ar"/>
              </w:rPr>
            </w:pPr>
            <w:r>
              <w:rPr>
                <w:rFonts w:hint="eastAsia" w:ascii="宋体" w:hAnsi="宋体" w:eastAsia="宋体" w:cs="宋体"/>
                <w:b/>
                <w:color w:val="000000"/>
                <w:kern w:val="0"/>
                <w:sz w:val="18"/>
                <w:szCs w:val="18"/>
                <w:lang w:bidi="ar"/>
              </w:rPr>
              <w:t>排查隐患总数</w:t>
            </w:r>
          </w:p>
        </w:tc>
        <w:tc>
          <w:tcPr>
            <w:tcW w:w="1692"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lang w:bidi="ar"/>
              </w:rPr>
              <w:t>一般隐患</w:t>
            </w:r>
          </w:p>
        </w:tc>
        <w:tc>
          <w:tcPr>
            <w:tcW w:w="1692"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lang w:bidi="ar"/>
              </w:rPr>
              <w:t>重大隐患</w:t>
            </w:r>
          </w:p>
        </w:tc>
        <w:tc>
          <w:tcPr>
            <w:tcW w:w="564"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lang w:bidi="ar"/>
              </w:rPr>
              <w:t>成立    检查组</w:t>
            </w:r>
          </w:p>
        </w:tc>
        <w:tc>
          <w:tcPr>
            <w:tcW w:w="5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lang w:bidi="ar"/>
              </w:rPr>
              <w:t>督导检查次数</w:t>
            </w:r>
          </w:p>
        </w:tc>
        <w:tc>
          <w:tcPr>
            <w:tcW w:w="5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lang w:bidi="ar"/>
              </w:rPr>
              <w:t>检查    单位</w:t>
            </w:r>
          </w:p>
        </w:tc>
        <w:tc>
          <w:tcPr>
            <w:tcW w:w="5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lang w:bidi="ar"/>
              </w:rPr>
              <w:t>督导     问题</w:t>
            </w:r>
          </w:p>
        </w:tc>
        <w:tc>
          <w:tcPr>
            <w:tcW w:w="5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SimSun-ExtB" w:hAnsi="SimSun-ExtB" w:eastAsia="SimSun-ExtB" w:cs="SimSun-ExtB"/>
                <w:b/>
                <w:color w:val="000000"/>
                <w:sz w:val="18"/>
                <w:szCs w:val="18"/>
              </w:rPr>
            </w:pPr>
            <w:r>
              <w:rPr>
                <w:rFonts w:hint="eastAsia" w:ascii="SimSun-ExtB" w:hAnsi="SimSun-ExtB" w:eastAsia="SimSun-ExtB" w:cs="SimSun-ExtB"/>
                <w:b/>
                <w:color w:val="000000"/>
                <w:kern w:val="0"/>
                <w:sz w:val="18"/>
                <w:szCs w:val="18"/>
                <w:lang w:bidi="ar"/>
              </w:rPr>
              <w:t>行政             处罚</w:t>
            </w:r>
          </w:p>
        </w:tc>
        <w:tc>
          <w:tcPr>
            <w:tcW w:w="5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SimSun-ExtB" w:hAnsi="SimSun-ExtB" w:eastAsia="SimSun-ExtB" w:cs="SimSun-ExtB"/>
                <w:b/>
                <w:color w:val="000000"/>
                <w:sz w:val="18"/>
                <w:szCs w:val="18"/>
              </w:rPr>
            </w:pPr>
            <w:r>
              <w:rPr>
                <w:rFonts w:hint="eastAsia" w:ascii="SimSun-ExtB" w:hAnsi="SimSun-ExtB" w:eastAsia="SimSun-ExtB" w:cs="SimSun-ExtB"/>
                <w:b/>
                <w:color w:val="000000"/>
                <w:kern w:val="0"/>
                <w:sz w:val="18"/>
                <w:szCs w:val="18"/>
                <w:lang w:bidi="ar"/>
              </w:rPr>
              <w:t>责令停产整顿</w:t>
            </w:r>
          </w:p>
        </w:tc>
        <w:tc>
          <w:tcPr>
            <w:tcW w:w="5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SimSun-ExtB" w:hAnsi="SimSun-ExtB" w:eastAsia="SimSun-ExtB" w:cs="SimSun-ExtB"/>
                <w:b/>
                <w:color w:val="000000"/>
                <w:sz w:val="18"/>
                <w:szCs w:val="18"/>
              </w:rPr>
            </w:pPr>
            <w:r>
              <w:rPr>
                <w:rFonts w:hint="eastAsia" w:ascii="SimSun-ExtB" w:hAnsi="SimSun-ExtB" w:eastAsia="SimSun-ExtB" w:cs="SimSun-ExtB"/>
                <w:b/>
                <w:color w:val="000000"/>
                <w:kern w:val="0"/>
                <w:sz w:val="18"/>
                <w:szCs w:val="18"/>
                <w:lang w:bidi="ar"/>
              </w:rPr>
              <w:t>暂扣吊销证照企业</w:t>
            </w:r>
          </w:p>
        </w:tc>
        <w:tc>
          <w:tcPr>
            <w:tcW w:w="5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lang w:bidi="ar"/>
              </w:rPr>
              <w:t>关闭    取缔</w:t>
            </w:r>
          </w:p>
        </w:tc>
        <w:tc>
          <w:tcPr>
            <w:tcW w:w="6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SimSun-ExtB" w:hAnsi="SimSun-ExtB" w:eastAsia="SimSun-ExtB" w:cs="SimSun-ExtB"/>
                <w:b/>
                <w:color w:val="000000"/>
                <w:sz w:val="18"/>
                <w:szCs w:val="18"/>
              </w:rPr>
            </w:pPr>
            <w:r>
              <w:rPr>
                <w:rFonts w:hint="eastAsia" w:ascii="SimSun-ExtB" w:hAnsi="SimSun-ExtB" w:eastAsia="SimSun-ExtB" w:cs="SimSun-ExtB"/>
                <w:b/>
                <w:color w:val="000000"/>
                <w:kern w:val="0"/>
                <w:sz w:val="18"/>
                <w:szCs w:val="18"/>
                <w:lang w:bidi="ar"/>
              </w:rPr>
              <w:t>罚款</w:t>
            </w:r>
          </w:p>
        </w:tc>
        <w:tc>
          <w:tcPr>
            <w:tcW w:w="5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SimSun-ExtB" w:hAnsi="SimSun-ExtB" w:eastAsia="SimSun-ExtB" w:cs="SimSun-ExtB"/>
                <w:b/>
                <w:color w:val="000000"/>
                <w:sz w:val="18"/>
                <w:szCs w:val="18"/>
              </w:rPr>
            </w:pPr>
            <w:r>
              <w:rPr>
                <w:rFonts w:hint="eastAsia" w:ascii="SimSun-ExtB" w:hAnsi="SimSun-ExtB" w:eastAsia="SimSun-ExtB" w:cs="SimSun-ExtB"/>
                <w:b/>
                <w:color w:val="000000"/>
                <w:kern w:val="0"/>
                <w:sz w:val="18"/>
                <w:szCs w:val="18"/>
                <w:lang w:bidi="ar"/>
              </w:rPr>
              <w:t>移送司法机关</w:t>
            </w:r>
          </w:p>
        </w:tc>
        <w:tc>
          <w:tcPr>
            <w:tcW w:w="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rPr>
                <w:rFonts w:ascii="SimSun-ExtB" w:hAnsi="SimSun-ExtB" w:eastAsia="SimSun-ExtB" w:cs="SimSun-ExtB"/>
                <w:b/>
                <w:color w:val="000000"/>
                <w:sz w:val="18"/>
                <w:szCs w:val="18"/>
              </w:rPr>
            </w:pPr>
          </w:p>
        </w:tc>
        <w:tc>
          <w:tcPr>
            <w:tcW w:w="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rPr>
                <w:rFonts w:ascii="SimSun-ExtB" w:hAnsi="SimSun-ExtB" w:eastAsia="SimSun-ExtB" w:cs="SimSun-ExtB"/>
                <w:b/>
                <w:color w:val="000000"/>
                <w:sz w:val="18"/>
                <w:szCs w:val="18"/>
              </w:rPr>
            </w:pPr>
          </w:p>
        </w:tc>
      </w:tr>
      <w:tr>
        <w:tblPrEx>
          <w:tblCellMar>
            <w:top w:w="0" w:type="dxa"/>
            <w:left w:w="0" w:type="dxa"/>
            <w:bottom w:w="0" w:type="dxa"/>
            <w:right w:w="0" w:type="dxa"/>
          </w:tblCellMar>
        </w:tblPrEx>
        <w:trPr>
          <w:trHeight w:val="900" w:hRule="atLeast"/>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b/>
                <w:color w:val="000000"/>
                <w:sz w:val="18"/>
                <w:szCs w:val="18"/>
              </w:rPr>
            </w:pPr>
          </w:p>
        </w:tc>
        <w:tc>
          <w:tcPr>
            <w:tcW w:w="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lang w:bidi="ar"/>
              </w:rPr>
              <w:t>小计</w:t>
            </w:r>
          </w:p>
        </w:tc>
        <w:tc>
          <w:tcPr>
            <w:tcW w:w="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lang w:bidi="ar"/>
              </w:rPr>
              <w:t>市级     党委     政府     部门</w:t>
            </w:r>
          </w:p>
        </w:tc>
        <w:tc>
          <w:tcPr>
            <w:tcW w:w="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宋体" w:hAnsi="宋体" w:eastAsia="宋体" w:cs="宋体"/>
                <w:b/>
                <w:color w:val="000000"/>
                <w:kern w:val="0"/>
                <w:sz w:val="18"/>
                <w:szCs w:val="18"/>
                <w:lang w:bidi="ar"/>
              </w:rPr>
            </w:pPr>
            <w:r>
              <w:rPr>
                <w:rFonts w:hint="eastAsia" w:ascii="宋体" w:hAnsi="宋体" w:eastAsia="宋体" w:cs="宋体"/>
                <w:b/>
                <w:color w:val="000000"/>
                <w:kern w:val="0"/>
                <w:sz w:val="18"/>
                <w:szCs w:val="18"/>
                <w:lang w:bidi="ar"/>
              </w:rPr>
              <w:t>县级    党委    政府    部门</w:t>
            </w:r>
          </w:p>
        </w:tc>
        <w:tc>
          <w:tcPr>
            <w:tcW w:w="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宋体" w:hAnsi="宋体" w:eastAsia="宋体" w:cs="宋体"/>
                <w:b/>
                <w:color w:val="000000"/>
                <w:kern w:val="0"/>
                <w:sz w:val="18"/>
                <w:szCs w:val="18"/>
                <w:lang w:bidi="ar"/>
              </w:rPr>
            </w:pPr>
          </w:p>
        </w:tc>
        <w:tc>
          <w:tcPr>
            <w:tcW w:w="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SimSun-ExtB" w:hAnsi="SimSun-ExtB" w:eastAsia="SimSun-ExtB" w:cs="SimSun-ExtB"/>
                <w:b/>
                <w:color w:val="000000"/>
                <w:sz w:val="18"/>
                <w:szCs w:val="18"/>
              </w:rPr>
            </w:pPr>
            <w:r>
              <w:rPr>
                <w:rFonts w:hint="eastAsia" w:ascii="SimSun-ExtB" w:hAnsi="SimSun-ExtB" w:eastAsia="SimSun-ExtB" w:cs="SimSun-ExtB"/>
                <w:b/>
                <w:color w:val="000000"/>
                <w:kern w:val="0"/>
                <w:sz w:val="18"/>
                <w:szCs w:val="18"/>
                <w:lang w:bidi="ar"/>
              </w:rPr>
              <w:t>排查</w:t>
            </w:r>
          </w:p>
        </w:tc>
        <w:tc>
          <w:tcPr>
            <w:tcW w:w="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SimSun-ExtB" w:hAnsi="SimSun-ExtB" w:eastAsia="SimSun-ExtB" w:cs="SimSun-ExtB"/>
                <w:b/>
                <w:color w:val="000000"/>
                <w:sz w:val="18"/>
                <w:szCs w:val="18"/>
              </w:rPr>
            </w:pPr>
            <w:r>
              <w:rPr>
                <w:rFonts w:hint="eastAsia" w:ascii="SimSun-ExtB" w:hAnsi="SimSun-ExtB" w:eastAsia="SimSun-ExtB" w:cs="SimSun-ExtB"/>
                <w:b/>
                <w:color w:val="000000"/>
                <w:kern w:val="0"/>
                <w:sz w:val="18"/>
                <w:szCs w:val="18"/>
                <w:lang w:bidi="ar"/>
              </w:rPr>
              <w:t>已整改</w:t>
            </w:r>
          </w:p>
        </w:tc>
        <w:tc>
          <w:tcPr>
            <w:tcW w:w="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SimSun-ExtB" w:hAnsi="SimSun-ExtB" w:eastAsia="SimSun-ExtB" w:cs="SimSun-ExtB"/>
                <w:b/>
                <w:color w:val="000000"/>
                <w:sz w:val="18"/>
                <w:szCs w:val="18"/>
              </w:rPr>
            </w:pPr>
            <w:r>
              <w:rPr>
                <w:rFonts w:hint="eastAsia" w:ascii="SimSun-ExtB" w:hAnsi="SimSun-ExtB" w:eastAsia="SimSun-ExtB" w:cs="SimSun-ExtB"/>
                <w:b/>
                <w:color w:val="000000"/>
                <w:kern w:val="0"/>
                <w:sz w:val="18"/>
                <w:szCs w:val="18"/>
                <w:lang w:bidi="ar"/>
              </w:rPr>
              <w:t>整改率</w:t>
            </w:r>
          </w:p>
        </w:tc>
        <w:tc>
          <w:tcPr>
            <w:tcW w:w="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SimSun-ExtB" w:hAnsi="SimSun-ExtB" w:eastAsia="SimSun-ExtB" w:cs="SimSun-ExtB"/>
                <w:b/>
                <w:color w:val="000000"/>
                <w:sz w:val="18"/>
                <w:szCs w:val="18"/>
              </w:rPr>
            </w:pPr>
            <w:r>
              <w:rPr>
                <w:rFonts w:hint="eastAsia" w:ascii="SimSun-ExtB" w:hAnsi="SimSun-ExtB" w:eastAsia="SimSun-ExtB" w:cs="SimSun-ExtB"/>
                <w:b/>
                <w:color w:val="000000"/>
                <w:kern w:val="0"/>
                <w:sz w:val="18"/>
                <w:szCs w:val="18"/>
                <w:lang w:bidi="ar"/>
              </w:rPr>
              <w:t>排查</w:t>
            </w:r>
          </w:p>
        </w:tc>
        <w:tc>
          <w:tcPr>
            <w:tcW w:w="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SimSun-ExtB" w:hAnsi="SimSun-ExtB" w:eastAsia="SimSun-ExtB" w:cs="SimSun-ExtB"/>
                <w:b/>
                <w:color w:val="000000"/>
                <w:sz w:val="18"/>
                <w:szCs w:val="18"/>
              </w:rPr>
            </w:pPr>
            <w:r>
              <w:rPr>
                <w:rFonts w:hint="eastAsia" w:ascii="SimSun-ExtB" w:hAnsi="SimSun-ExtB" w:eastAsia="SimSun-ExtB" w:cs="SimSun-ExtB"/>
                <w:b/>
                <w:color w:val="000000"/>
                <w:kern w:val="0"/>
                <w:sz w:val="18"/>
                <w:szCs w:val="18"/>
                <w:lang w:bidi="ar"/>
              </w:rPr>
              <w:t>已整改</w:t>
            </w:r>
          </w:p>
        </w:tc>
        <w:tc>
          <w:tcPr>
            <w:tcW w:w="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textAlignment w:val="center"/>
              <w:rPr>
                <w:rFonts w:ascii="SimSun-ExtB" w:hAnsi="SimSun-ExtB" w:eastAsia="SimSun-ExtB" w:cs="SimSun-ExtB"/>
                <w:b/>
                <w:color w:val="000000"/>
                <w:sz w:val="18"/>
                <w:szCs w:val="18"/>
              </w:rPr>
            </w:pPr>
            <w:r>
              <w:rPr>
                <w:rFonts w:hint="eastAsia" w:ascii="SimSun-ExtB" w:hAnsi="SimSun-ExtB" w:eastAsia="SimSun-ExtB" w:cs="SimSun-ExtB"/>
                <w:b/>
                <w:color w:val="000000"/>
                <w:kern w:val="0"/>
                <w:sz w:val="18"/>
                <w:szCs w:val="18"/>
                <w:lang w:bidi="ar"/>
              </w:rPr>
              <w:t>整改率</w:t>
            </w:r>
          </w:p>
        </w:tc>
        <w:tc>
          <w:tcPr>
            <w:tcW w:w="564"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rPr>
                <w:rFonts w:ascii="宋体" w:hAnsi="宋体" w:eastAsia="宋体" w:cs="宋体"/>
                <w:b/>
                <w:color w:val="000000"/>
                <w:sz w:val="18"/>
                <w:szCs w:val="18"/>
              </w:rPr>
            </w:pPr>
          </w:p>
        </w:tc>
        <w:tc>
          <w:tcPr>
            <w:tcW w:w="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rPr>
                <w:rFonts w:ascii="宋体" w:hAnsi="宋体" w:eastAsia="宋体" w:cs="宋体"/>
                <w:b/>
                <w:color w:val="000000"/>
                <w:sz w:val="18"/>
                <w:szCs w:val="18"/>
              </w:rPr>
            </w:pPr>
          </w:p>
        </w:tc>
        <w:tc>
          <w:tcPr>
            <w:tcW w:w="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rPr>
                <w:rFonts w:ascii="宋体" w:hAnsi="宋体" w:eastAsia="宋体" w:cs="宋体"/>
                <w:b/>
                <w:color w:val="000000"/>
                <w:sz w:val="18"/>
                <w:szCs w:val="18"/>
              </w:rPr>
            </w:pPr>
          </w:p>
        </w:tc>
        <w:tc>
          <w:tcPr>
            <w:tcW w:w="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rPr>
                <w:rFonts w:ascii="宋体" w:hAnsi="宋体" w:eastAsia="宋体" w:cs="宋体"/>
                <w:b/>
                <w:color w:val="000000"/>
                <w:sz w:val="18"/>
                <w:szCs w:val="18"/>
              </w:rPr>
            </w:pPr>
          </w:p>
        </w:tc>
        <w:tc>
          <w:tcPr>
            <w:tcW w:w="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rPr>
                <w:rFonts w:ascii="SimSun-ExtB" w:hAnsi="SimSun-ExtB" w:eastAsia="SimSun-ExtB" w:cs="SimSun-ExtB"/>
                <w:b/>
                <w:color w:val="000000"/>
                <w:sz w:val="18"/>
                <w:szCs w:val="18"/>
              </w:rPr>
            </w:pPr>
          </w:p>
        </w:tc>
        <w:tc>
          <w:tcPr>
            <w:tcW w:w="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rPr>
                <w:rFonts w:ascii="SimSun-ExtB" w:hAnsi="SimSun-ExtB" w:eastAsia="SimSun-ExtB" w:cs="SimSun-ExtB"/>
                <w:b/>
                <w:color w:val="000000"/>
                <w:sz w:val="18"/>
                <w:szCs w:val="18"/>
              </w:rPr>
            </w:pPr>
          </w:p>
        </w:tc>
        <w:tc>
          <w:tcPr>
            <w:tcW w:w="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rPr>
                <w:rFonts w:ascii="SimSun-ExtB" w:hAnsi="SimSun-ExtB" w:eastAsia="SimSun-ExtB" w:cs="SimSun-ExtB"/>
                <w:b/>
                <w:color w:val="000000"/>
                <w:sz w:val="18"/>
                <w:szCs w:val="18"/>
              </w:rPr>
            </w:pPr>
          </w:p>
        </w:tc>
        <w:tc>
          <w:tcPr>
            <w:tcW w:w="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rPr>
                <w:rFonts w:ascii="宋体" w:hAnsi="宋体" w:eastAsia="宋体" w:cs="宋体"/>
                <w:b/>
                <w:color w:val="000000"/>
                <w:sz w:val="18"/>
                <w:szCs w:val="18"/>
              </w:rPr>
            </w:pPr>
          </w:p>
        </w:tc>
        <w:tc>
          <w:tcPr>
            <w:tcW w:w="6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rPr>
                <w:rFonts w:ascii="SimSun-ExtB" w:hAnsi="SimSun-ExtB" w:eastAsia="SimSun-ExtB" w:cs="SimSun-ExtB"/>
                <w:b/>
                <w:color w:val="000000"/>
                <w:sz w:val="18"/>
                <w:szCs w:val="18"/>
              </w:rPr>
            </w:pPr>
          </w:p>
        </w:tc>
        <w:tc>
          <w:tcPr>
            <w:tcW w:w="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rPr>
                <w:rFonts w:ascii="SimSun-ExtB" w:hAnsi="SimSun-ExtB" w:eastAsia="SimSun-ExtB" w:cs="SimSun-ExtB"/>
                <w:b/>
                <w:color w:val="000000"/>
                <w:sz w:val="18"/>
                <w:szCs w:val="18"/>
              </w:rPr>
            </w:pPr>
          </w:p>
        </w:tc>
        <w:tc>
          <w:tcPr>
            <w:tcW w:w="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rPr>
                <w:rFonts w:ascii="SimSun-ExtB" w:hAnsi="SimSun-ExtB" w:eastAsia="SimSun-ExtB" w:cs="SimSun-ExtB"/>
                <w:b/>
                <w:color w:val="000000"/>
                <w:sz w:val="18"/>
                <w:szCs w:val="18"/>
              </w:rPr>
            </w:pPr>
          </w:p>
        </w:tc>
        <w:tc>
          <w:tcPr>
            <w:tcW w:w="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spacing w:line="240" w:lineRule="exact"/>
              <w:jc w:val="center"/>
              <w:rPr>
                <w:rFonts w:ascii="SimSun-ExtB" w:hAnsi="SimSun-ExtB" w:eastAsia="SimSun-ExtB" w:cs="SimSun-ExtB"/>
                <w:b/>
                <w:color w:val="000000"/>
                <w:sz w:val="18"/>
                <w:szCs w:val="18"/>
              </w:rPr>
            </w:pPr>
          </w:p>
        </w:tc>
      </w:tr>
      <w:tr>
        <w:tblPrEx>
          <w:tblCellMar>
            <w:top w:w="0" w:type="dxa"/>
            <w:left w:w="0" w:type="dxa"/>
            <w:bottom w:w="0" w:type="dxa"/>
            <w:right w:w="0" w:type="dxa"/>
          </w:tblCellMar>
        </w:tblPrEx>
        <w:trPr>
          <w:trHeight w:val="680" w:hRule="atLeast"/>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b/>
                <w:color w:val="000000"/>
                <w:sz w:val="18"/>
                <w:szCs w:val="18"/>
              </w:rPr>
            </w:pPr>
          </w:p>
        </w:tc>
        <w:tc>
          <w:tcPr>
            <w:tcW w:w="564"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(项)</w:t>
            </w:r>
          </w:p>
        </w:tc>
        <w:tc>
          <w:tcPr>
            <w:tcW w:w="564"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(项)</w:t>
            </w:r>
          </w:p>
        </w:tc>
        <w:tc>
          <w:tcPr>
            <w:tcW w:w="564"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(项)</w:t>
            </w:r>
          </w:p>
        </w:tc>
        <w:tc>
          <w:tcPr>
            <w:tcW w:w="564"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(处)</w:t>
            </w:r>
          </w:p>
        </w:tc>
        <w:tc>
          <w:tcPr>
            <w:tcW w:w="564"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(处)</w:t>
            </w:r>
          </w:p>
        </w:tc>
        <w:tc>
          <w:tcPr>
            <w:tcW w:w="564"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(处)</w:t>
            </w:r>
          </w:p>
        </w:tc>
        <w:tc>
          <w:tcPr>
            <w:tcW w:w="564"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w:t>
            </w:r>
          </w:p>
        </w:tc>
        <w:tc>
          <w:tcPr>
            <w:tcW w:w="564"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(处)</w:t>
            </w:r>
          </w:p>
        </w:tc>
        <w:tc>
          <w:tcPr>
            <w:tcW w:w="564"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(处)</w:t>
            </w:r>
          </w:p>
        </w:tc>
        <w:tc>
          <w:tcPr>
            <w:tcW w:w="564" w:type="dxa"/>
            <w:tcBorders>
              <w:top w:val="single" w:color="000000" w:sz="4" w:space="0"/>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w:t>
            </w:r>
          </w:p>
        </w:tc>
        <w:tc>
          <w:tcPr>
            <w:tcW w:w="564" w:type="dxa"/>
            <w:tcBorders>
              <w:top w:val="nil"/>
              <w:left w:val="nil"/>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(个)</w:t>
            </w:r>
          </w:p>
        </w:tc>
        <w:tc>
          <w:tcPr>
            <w:tcW w:w="564" w:type="dxa"/>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(次)</w:t>
            </w:r>
          </w:p>
        </w:tc>
        <w:tc>
          <w:tcPr>
            <w:tcW w:w="564" w:type="dxa"/>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（家）</w:t>
            </w:r>
          </w:p>
        </w:tc>
        <w:tc>
          <w:tcPr>
            <w:tcW w:w="564" w:type="dxa"/>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(个)</w:t>
            </w:r>
          </w:p>
        </w:tc>
        <w:tc>
          <w:tcPr>
            <w:tcW w:w="564" w:type="dxa"/>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(次)</w:t>
            </w:r>
          </w:p>
        </w:tc>
        <w:tc>
          <w:tcPr>
            <w:tcW w:w="564" w:type="dxa"/>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(家)</w:t>
            </w:r>
          </w:p>
        </w:tc>
        <w:tc>
          <w:tcPr>
            <w:tcW w:w="564" w:type="dxa"/>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(家)</w:t>
            </w:r>
          </w:p>
        </w:tc>
        <w:tc>
          <w:tcPr>
            <w:tcW w:w="564" w:type="dxa"/>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（家）</w:t>
            </w:r>
          </w:p>
        </w:tc>
        <w:tc>
          <w:tcPr>
            <w:tcW w:w="696" w:type="dxa"/>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2"/>
                <w:szCs w:val="12"/>
              </w:rPr>
            </w:pPr>
            <w:r>
              <w:rPr>
                <w:rFonts w:hint="eastAsia" w:ascii="宋体" w:hAnsi="宋体" w:eastAsia="宋体" w:cs="宋体"/>
                <w:b/>
                <w:color w:val="000000"/>
                <w:kern w:val="0"/>
                <w:sz w:val="12"/>
                <w:szCs w:val="12"/>
                <w:lang w:bidi="ar"/>
              </w:rPr>
              <w:t>（万元）</w:t>
            </w:r>
          </w:p>
        </w:tc>
        <w:tc>
          <w:tcPr>
            <w:tcW w:w="564" w:type="dxa"/>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(人)</w:t>
            </w:r>
          </w:p>
        </w:tc>
        <w:tc>
          <w:tcPr>
            <w:tcW w:w="564" w:type="dxa"/>
            <w:tcBorders>
              <w:top w:val="nil"/>
              <w:left w:val="single" w:color="000000" w:sz="4" w:space="0"/>
              <w:bottom w:val="nil"/>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(家)</w:t>
            </w:r>
          </w:p>
        </w:tc>
        <w:tc>
          <w:tcPr>
            <w:tcW w:w="564" w:type="dxa"/>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b/>
                <w:color w:val="000000"/>
                <w:sz w:val="16"/>
                <w:szCs w:val="16"/>
              </w:rPr>
            </w:pPr>
            <w:r>
              <w:rPr>
                <w:rFonts w:hint="eastAsia" w:ascii="宋体" w:hAnsi="宋体" w:eastAsia="宋体" w:cs="宋体"/>
                <w:b/>
                <w:color w:val="000000"/>
                <w:kern w:val="0"/>
                <w:sz w:val="16"/>
                <w:szCs w:val="16"/>
                <w:lang w:bidi="ar"/>
              </w:rPr>
              <w:t>(家)</w:t>
            </w:r>
          </w:p>
        </w:tc>
      </w:tr>
      <w:tr>
        <w:tblPrEx>
          <w:tblCellMar>
            <w:top w:w="0" w:type="dxa"/>
            <w:left w:w="0" w:type="dxa"/>
            <w:bottom w:w="0" w:type="dxa"/>
            <w:right w:w="0" w:type="dxa"/>
          </w:tblCellMar>
        </w:tblPrEx>
        <w:trPr>
          <w:trHeight w:val="540" w:hRule="atLeast"/>
        </w:trPr>
        <w:tc>
          <w:tcPr>
            <w:tcW w:w="130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黑体" w:hAnsi="宋体" w:eastAsia="黑体" w:cs="黑体"/>
                <w:color w:val="000000"/>
                <w:szCs w:val="21"/>
              </w:rPr>
            </w:pPr>
            <w:r>
              <w:rPr>
                <w:rFonts w:hint="eastAsia" w:ascii="黑体" w:hAnsi="宋体" w:eastAsia="黑体" w:cs="黑体"/>
                <w:color w:val="000000"/>
                <w:kern w:val="0"/>
                <w:szCs w:val="21"/>
                <w:lang w:bidi="ar"/>
              </w:rPr>
              <w:t>地下矿山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r>
      <w:tr>
        <w:tblPrEx>
          <w:tblCellMar>
            <w:top w:w="0" w:type="dxa"/>
            <w:left w:w="0" w:type="dxa"/>
            <w:bottom w:w="0" w:type="dxa"/>
            <w:right w:w="0" w:type="dxa"/>
          </w:tblCellMar>
        </w:tblPrEx>
        <w:trPr>
          <w:trHeight w:val="640" w:hRule="atLeast"/>
        </w:trPr>
        <w:tc>
          <w:tcPr>
            <w:tcW w:w="130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黑体" w:hAnsi="宋体" w:eastAsia="黑体" w:cs="黑体"/>
                <w:color w:val="000000"/>
                <w:szCs w:val="21"/>
              </w:rPr>
            </w:pPr>
            <w:r>
              <w:rPr>
                <w:rFonts w:hint="eastAsia" w:ascii="黑体" w:hAnsi="宋体" w:eastAsia="黑体" w:cs="黑体"/>
                <w:color w:val="000000"/>
                <w:kern w:val="0"/>
                <w:szCs w:val="21"/>
                <w:lang w:bidi="ar"/>
              </w:rPr>
              <w:t>尾矿库</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r>
      <w:tr>
        <w:tblPrEx>
          <w:tblCellMar>
            <w:top w:w="0" w:type="dxa"/>
            <w:left w:w="0" w:type="dxa"/>
            <w:bottom w:w="0" w:type="dxa"/>
            <w:right w:w="0" w:type="dxa"/>
          </w:tblCellMar>
        </w:tblPrEx>
        <w:trPr>
          <w:trHeight w:val="540" w:hRule="atLeast"/>
        </w:trPr>
        <w:tc>
          <w:tcPr>
            <w:tcW w:w="130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黑体" w:hAnsi="宋体" w:eastAsia="黑体" w:cs="黑体"/>
                <w:color w:val="000000"/>
                <w:szCs w:val="21"/>
              </w:rPr>
            </w:pPr>
            <w:r>
              <w:rPr>
                <w:rFonts w:hint="eastAsia" w:ascii="黑体" w:hAnsi="宋体" w:eastAsia="黑体" w:cs="黑体"/>
                <w:color w:val="000000"/>
                <w:kern w:val="0"/>
                <w:szCs w:val="21"/>
                <w:lang w:bidi="ar"/>
              </w:rPr>
              <w:t>合 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color w:val="000000"/>
                <w:sz w:val="24"/>
              </w:rPr>
            </w:pPr>
          </w:p>
        </w:tc>
      </w:tr>
      <w:tr>
        <w:tblPrEx>
          <w:tblCellMar>
            <w:top w:w="0" w:type="dxa"/>
            <w:left w:w="0" w:type="dxa"/>
            <w:bottom w:w="0" w:type="dxa"/>
            <w:right w:w="0" w:type="dxa"/>
          </w:tblCellMar>
        </w:tblPrEx>
        <w:trPr>
          <w:trHeight w:val="580" w:hRule="atLeast"/>
        </w:trPr>
        <w:tc>
          <w:tcPr>
            <w:tcW w:w="0" w:type="auto"/>
            <w:tcBorders>
              <w:top w:val="nil"/>
              <w:left w:val="nil"/>
              <w:bottom w:val="nil"/>
              <w:right w:val="nil"/>
            </w:tcBorders>
            <w:shd w:val="clear" w:color="auto" w:fill="auto"/>
            <w:noWrap/>
            <w:tcMar>
              <w:top w:w="12" w:type="dxa"/>
              <w:left w:w="12" w:type="dxa"/>
              <w:right w:w="12" w:type="dxa"/>
            </w:tcMar>
            <w:vAlign w:val="center"/>
          </w:tcPr>
          <w:p>
            <w:pPr>
              <w:jc w:val="center"/>
              <w:rPr>
                <w:rFonts w:ascii="宋体" w:hAnsi="宋体" w:eastAsia="宋体" w:cs="宋体"/>
                <w:color w:val="000000"/>
                <w:sz w:val="24"/>
              </w:rPr>
            </w:pPr>
          </w:p>
          <w:p>
            <w:pPr>
              <w:pStyle w:val="2"/>
            </w:pPr>
          </w:p>
        </w:tc>
        <w:tc>
          <w:tcPr>
            <w:tcW w:w="0" w:type="auto"/>
            <w:gridSpan w:val="22"/>
            <w:tcBorders>
              <w:top w:val="nil"/>
              <w:left w:val="nil"/>
              <w:bottom w:val="nil"/>
              <w:right w:val="nil"/>
            </w:tcBorders>
            <w:shd w:val="clear" w:color="auto" w:fill="auto"/>
            <w:noWrap/>
            <w:tcMar>
              <w:top w:w="12" w:type="dxa"/>
              <w:left w:w="12" w:type="dxa"/>
              <w:right w:w="12" w:type="dxa"/>
            </w:tcMar>
            <w:vAlign w:val="center"/>
          </w:tcPr>
          <w:p>
            <w:pPr>
              <w:widowControl/>
              <w:jc w:val="left"/>
              <w:textAlignment w:val="center"/>
              <w:rPr>
                <w:rFonts w:ascii="楷体_GB2312" w:hAnsi="宋体" w:eastAsia="楷体_GB2312" w:cs="楷体_GB2312"/>
                <w:color w:val="000000"/>
                <w:sz w:val="28"/>
                <w:szCs w:val="28"/>
              </w:rPr>
            </w:pPr>
            <w:r>
              <w:rPr>
                <w:rFonts w:ascii="楷体_GB2312" w:hAnsi="宋体" w:eastAsia="楷体_GB2312" w:cs="楷体_GB2312"/>
                <w:color w:val="000000"/>
                <w:kern w:val="0"/>
                <w:sz w:val="28"/>
                <w:szCs w:val="28"/>
                <w:lang w:bidi="ar"/>
              </w:rPr>
              <w:t>审核人：                       填报人：                   联系电话：</w:t>
            </w:r>
          </w:p>
        </w:tc>
      </w:tr>
      <w:tr>
        <w:tblPrEx>
          <w:tblCellMar>
            <w:top w:w="0" w:type="dxa"/>
            <w:left w:w="0" w:type="dxa"/>
            <w:bottom w:w="0" w:type="dxa"/>
            <w:right w:w="0" w:type="dxa"/>
          </w:tblCellMar>
        </w:tblPrEx>
        <w:trPr>
          <w:trHeight w:val="348" w:hRule="atLeast"/>
        </w:trPr>
        <w:tc>
          <w:tcPr>
            <w:tcW w:w="0" w:type="auto"/>
            <w:gridSpan w:val="23"/>
            <w:tcBorders>
              <w:top w:val="nil"/>
              <w:left w:val="nil"/>
              <w:bottom w:val="nil"/>
              <w:right w:val="nil"/>
            </w:tcBorders>
            <w:shd w:val="clear" w:color="auto" w:fill="auto"/>
            <w:noWrap/>
            <w:tcMar>
              <w:top w:w="12" w:type="dxa"/>
              <w:left w:w="12" w:type="dxa"/>
              <w:right w:w="12" w:type="dxa"/>
            </w:tcMar>
            <w:vAlign w:val="center"/>
          </w:tcPr>
          <w:p>
            <w:pPr>
              <w:widowControl/>
              <w:jc w:val="left"/>
              <w:textAlignment w:val="center"/>
              <w:rPr>
                <w:rFonts w:ascii="仿宋_GB2312" w:hAnsi="宋体" w:eastAsia="仿宋_GB2312" w:cs="仿宋_GB2312"/>
                <w:color w:val="000000"/>
                <w:sz w:val="28"/>
                <w:szCs w:val="28"/>
              </w:rPr>
            </w:pPr>
            <w:r>
              <w:rPr>
                <w:rFonts w:ascii="仿宋_GB2312" w:hAnsi="宋体" w:eastAsia="仿宋_GB2312" w:cs="仿宋_GB2312"/>
                <w:color w:val="000000"/>
                <w:kern w:val="0"/>
                <w:sz w:val="28"/>
                <w:szCs w:val="28"/>
                <w:lang w:bidi="ar"/>
              </w:rPr>
              <w:t>注：填报数据为自开展非煤矿山安全生产隐患大排查快整治严执法专项行动以来的累计数据。</w:t>
            </w:r>
          </w:p>
        </w:tc>
      </w:tr>
    </w:tbl>
    <w:p>
      <w:pPr>
        <w:spacing w:line="600" w:lineRule="exact"/>
        <w:ind w:firstLine="280" w:firstLineChars="100"/>
        <w:jc w:val="left"/>
        <w:rPr>
          <w:rFonts w:ascii="仿宋_GB2312" w:hAnsi="宋体" w:eastAsia="仿宋_GB2312" w:cs="宋体"/>
          <w:color w:val="000000"/>
          <w:kern w:val="0"/>
          <w:sz w:val="28"/>
          <w:szCs w:val="28"/>
        </w:rPr>
        <w:sectPr>
          <w:headerReference r:id="rId7" w:type="default"/>
          <w:footerReference r:id="rId8" w:type="default"/>
          <w:pgSz w:w="16838" w:h="11906" w:orient="landscape"/>
          <w:pgMar w:top="1587" w:right="2098" w:bottom="1474" w:left="1984" w:header="851" w:footer="992" w:gutter="0"/>
          <w:pgNumType w:fmt="numberInDash"/>
          <w:cols w:space="0" w:num="1"/>
          <w:docGrid w:type="lines" w:linePitch="590" w:charSpace="0"/>
        </w:sectPr>
      </w:pPr>
    </w:p>
    <w:p>
      <w:pPr>
        <w:pStyle w:val="2"/>
      </w:pPr>
    </w:p>
    <w:sectPr>
      <w:footerReference r:id="rId9" w:type="default"/>
      <w:pgSz w:w="11906" w:h="16838"/>
      <w:pgMar w:top="2098" w:right="1474" w:bottom="1984" w:left="1587" w:header="851" w:footer="992" w:gutter="0"/>
      <w:pgNumType w:fmt="numberInDash"/>
      <w:cols w:space="0" w:num="1"/>
      <w:docGrid w:type="lines" w:linePitch="59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方正小标宋_GBK">
    <w:panose1 w:val="03000509000000000000"/>
    <w:charset w:val="86"/>
    <w:family w:val="script"/>
    <w:pitch w:val="default"/>
    <w:sig w:usb0="00000001" w:usb1="080E0000" w:usb2="00000000" w:usb3="00000000" w:csb0="00040000" w:csb1="00000000"/>
  </w:font>
  <w:font w:name="方正小标宋简体">
    <w:altName w:val="Arial Unicode MS"/>
    <w:panose1 w:val="02010601030101010101"/>
    <w:charset w:val="86"/>
    <w:family w:val="auto"/>
    <w:pitch w:val="default"/>
    <w:sig w:usb0="00000000" w:usb1="00000000" w:usb2="00000012" w:usb3="00000000" w:csb0="00040001"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SimSun-ExtB">
    <w:panose1 w:val="02010609060101010101"/>
    <w:charset w:val="86"/>
    <w:family w:val="modern"/>
    <w:pitch w:val="default"/>
    <w:sig w:usb0="00000001" w:usb1="02000000" w:usb2="00000000"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ind w:firstLine="360"/>
    </w:pPr>
    <w: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- 11 -</w:t>
                          </w:r>
                          <w:r>
                            <w:rPr>
                              <w:rFonts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pStyle w:val="24"/>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- 11 -</w:t>
                    </w:r>
                    <w:r>
                      <w:rPr>
                        <w:rFonts w:ascii="Times New Roman" w:hAnsi="Times New Roman" w:cs="Times New Roman"/>
                        <w:sz w:val="28"/>
                        <w:szCs w:val="28"/>
                      </w:rP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rPr>
                              <w:rFonts w:ascii="Times New Roman" w:hAnsi="Times New Roman" w:cs="Times New Roman"/>
                              <w:sz w:val="28"/>
                              <w:szCs w:val="28"/>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24"/>
                      <w:rPr>
                        <w:rFonts w:ascii="Times New Roman" w:hAnsi="Times New Roman" w:cs="Times New Roman"/>
                        <w:sz w:val="28"/>
                        <w:szCs w:val="28"/>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ind w:firstLine="360"/>
      <w:jc w:val="center"/>
    </w:pPr>
    <w: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24"/>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- 24 -</w:t>
                          </w:r>
                          <w:r>
                            <w:rPr>
                              <w:rFonts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vk47wyAgAAYwQAAA4AAABkcnMvZTJvRG9jLnhtbK1UzY7TMBC+I/EO&#10;lu80aVl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5RoplCw0/fv51+&#10;/Dr9/Equojyt9TNEPVjEhe6t6TA0w73HZWTdVU7FX/Ah8EPc40Vc0QXC46PpZDrN4eLwDQfgZ4/P&#10;rfPhnTCKRKOgDt1LorLDxoc+dAiJ2bRZN1KmDkpN2oJev3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TjvDICAABjBAAADgAAAAAAAAABACAAAAAfAQAAZHJzL2Uyb0RvYy54bWxQSwUG&#10;AAAAAAYABgBZAQAAwwUAAAAA&#10;">
              <v:fill on="f" focussize="0,0"/>
              <v:stroke on="f" weight="0.5pt"/>
              <v:imagedata o:title=""/>
              <o:lock v:ext="edit" aspectratio="f"/>
              <v:textbox inset="0mm,0mm,0mm,0mm" style="mso-fit-shape-to-text:t;">
                <w:txbxContent>
                  <w:p>
                    <w:pPr>
                      <w:pStyle w:val="24"/>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- 24 -</w:t>
                    </w:r>
                    <w:r>
                      <w:rPr>
                        <w:rFonts w:ascii="Times New Roman" w:hAnsi="Times New Roman" w:cs="Times New Roman"/>
                        <w:sz w:val="28"/>
                        <w:szCs w:val="28"/>
                      </w:rPr>
                      <w:fldChar w:fldCharType="end"/>
                    </w:r>
                  </w:p>
                </w:txbxContent>
              </v:textbox>
            </v:shape>
          </w:pict>
        </mc:Fallback>
      </mc:AlternateContent>
    </w:r>
  </w:p>
  <w:p>
    <w:pPr>
      <w:pStyle w:val="24"/>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ind w:firstLine="360"/>
      <w:jc w:val="center"/>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- 25 -</w:t>
                          </w:r>
                          <w:r>
                            <w:rPr>
                              <w:rFonts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4"/>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- 25 -</w:t>
                    </w:r>
                    <w:r>
                      <w:rPr>
                        <w:rFonts w:ascii="Times New Roman" w:hAnsi="Times New Roman" w:cs="Times New Roman"/>
                        <w:sz w:val="28"/>
                        <w:szCs w:val="28"/>
                      </w:rPr>
                      <w:fldChar w:fldCharType="end"/>
                    </w:r>
                  </w:p>
                </w:txbxContent>
              </v:textbox>
            </v:shape>
          </w:pict>
        </mc:Fallback>
      </mc:AlternateContent>
    </w:r>
  </w:p>
  <w:p>
    <w:pPr>
      <w:pStyle w:val="24"/>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ind w:firstLine="360"/>
      <w:jc w:val="center"/>
    </w:pPr>
  </w:p>
  <w:p>
    <w:pPr>
      <w:pStyle w:val="24"/>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48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48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48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C91163"/>
    <w:multiLevelType w:val="multilevel"/>
    <w:tmpl w:val="1FC91163"/>
    <w:lvl w:ilvl="0" w:tentative="0">
      <w:start w:val="1"/>
      <w:numFmt w:val="decimal"/>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43"/>
      <w:suff w:val="nothing"/>
      <w:lvlText w:val="%1.%2　"/>
      <w:lvlJc w:val="left"/>
      <w:pPr>
        <w:ind w:left="1134" w:firstLine="0"/>
      </w:pPr>
      <w:rPr>
        <w:rFonts w:hint="eastAsia" w:ascii="黑体" w:hAnsi="Times New Roman" w:eastAsia="黑体" w:cs="Times New Roman"/>
        <w:b w:val="0"/>
        <w:bCs w:val="0"/>
        <w:i w:val="0"/>
        <w:iCs w:val="0"/>
        <w:caps w:val="0"/>
        <w:strike w:val="0"/>
        <w:dstrike w:val="0"/>
        <w:vanish w:val="0"/>
        <w:color w:val="auto"/>
        <w:spacing w:val="0"/>
        <w:kern w:val="0"/>
        <w:position w:val="0"/>
        <w:sz w:val="21"/>
        <w:szCs w:val="21"/>
        <w:u w:val="none"/>
        <w:vertAlign w:val="baseline"/>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
    <w:nsid w:val="75CB3C41"/>
    <w:multiLevelType w:val="multilevel"/>
    <w:tmpl w:val="75CB3C41"/>
    <w:lvl w:ilvl="0" w:tentative="0">
      <w:start w:val="1"/>
      <w:numFmt w:val="decimalEnclosedCircle"/>
      <w:lvlText w:val="%1"/>
      <w:lvlJc w:val="left"/>
      <w:pPr>
        <w:ind w:left="360" w:hanging="360"/>
      </w:pPr>
      <w:rPr>
        <w:rFonts w:hint="default" w:cs="Times New Roman"/>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hideSpellingErrors/>
  <w:documentProtection w:enforcement="0"/>
  <w:defaultTabStop w:val="420"/>
  <w:drawingGridVerticalSpacing w:val="295"/>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535113"/>
    <w:rsid w:val="00000607"/>
    <w:rsid w:val="00074ADF"/>
    <w:rsid w:val="000B7CA3"/>
    <w:rsid w:val="001105E0"/>
    <w:rsid w:val="00142390"/>
    <w:rsid w:val="00151B7A"/>
    <w:rsid w:val="001A1FB1"/>
    <w:rsid w:val="001F3F08"/>
    <w:rsid w:val="0023558C"/>
    <w:rsid w:val="002A245C"/>
    <w:rsid w:val="002A40E1"/>
    <w:rsid w:val="002C1AD7"/>
    <w:rsid w:val="002F3E27"/>
    <w:rsid w:val="003043D5"/>
    <w:rsid w:val="004632BF"/>
    <w:rsid w:val="00516391"/>
    <w:rsid w:val="00545105"/>
    <w:rsid w:val="00550C0F"/>
    <w:rsid w:val="005669A8"/>
    <w:rsid w:val="00593AE8"/>
    <w:rsid w:val="005A5DC8"/>
    <w:rsid w:val="006E16A7"/>
    <w:rsid w:val="00743634"/>
    <w:rsid w:val="00784467"/>
    <w:rsid w:val="007D724E"/>
    <w:rsid w:val="00874040"/>
    <w:rsid w:val="008E11AC"/>
    <w:rsid w:val="008E7EE3"/>
    <w:rsid w:val="00923434"/>
    <w:rsid w:val="00932BE9"/>
    <w:rsid w:val="009350A0"/>
    <w:rsid w:val="00984B44"/>
    <w:rsid w:val="00A60ED9"/>
    <w:rsid w:val="00AC035C"/>
    <w:rsid w:val="00B15999"/>
    <w:rsid w:val="00B663F5"/>
    <w:rsid w:val="00C21F1C"/>
    <w:rsid w:val="00C8634E"/>
    <w:rsid w:val="00DF1BCF"/>
    <w:rsid w:val="00E16048"/>
    <w:rsid w:val="00EF70A8"/>
    <w:rsid w:val="00F273A9"/>
    <w:rsid w:val="00F41347"/>
    <w:rsid w:val="01146B05"/>
    <w:rsid w:val="0117771A"/>
    <w:rsid w:val="013174F5"/>
    <w:rsid w:val="013A1C20"/>
    <w:rsid w:val="013E6C54"/>
    <w:rsid w:val="0144048A"/>
    <w:rsid w:val="01921597"/>
    <w:rsid w:val="01BA0D46"/>
    <w:rsid w:val="01CD1067"/>
    <w:rsid w:val="024A059A"/>
    <w:rsid w:val="025D4328"/>
    <w:rsid w:val="026A59F9"/>
    <w:rsid w:val="02785C72"/>
    <w:rsid w:val="029872F0"/>
    <w:rsid w:val="029D5084"/>
    <w:rsid w:val="02B6534E"/>
    <w:rsid w:val="02DF7A83"/>
    <w:rsid w:val="02EE3214"/>
    <w:rsid w:val="030D477F"/>
    <w:rsid w:val="034F34A4"/>
    <w:rsid w:val="03511C1C"/>
    <w:rsid w:val="037E461A"/>
    <w:rsid w:val="038E77F2"/>
    <w:rsid w:val="03B171FC"/>
    <w:rsid w:val="03D7649F"/>
    <w:rsid w:val="03DE3384"/>
    <w:rsid w:val="04067715"/>
    <w:rsid w:val="04274CC1"/>
    <w:rsid w:val="044E378F"/>
    <w:rsid w:val="04797B62"/>
    <w:rsid w:val="049C47FA"/>
    <w:rsid w:val="04B84CCD"/>
    <w:rsid w:val="04D90EC2"/>
    <w:rsid w:val="05055A6F"/>
    <w:rsid w:val="05101EC8"/>
    <w:rsid w:val="05172732"/>
    <w:rsid w:val="05406DA5"/>
    <w:rsid w:val="055D39ED"/>
    <w:rsid w:val="05997434"/>
    <w:rsid w:val="05A644F9"/>
    <w:rsid w:val="05C61033"/>
    <w:rsid w:val="05CD2B19"/>
    <w:rsid w:val="05DF14C7"/>
    <w:rsid w:val="060B2F95"/>
    <w:rsid w:val="061F5B26"/>
    <w:rsid w:val="06701BF3"/>
    <w:rsid w:val="06773198"/>
    <w:rsid w:val="06A261A8"/>
    <w:rsid w:val="06AC26FD"/>
    <w:rsid w:val="06C31CE2"/>
    <w:rsid w:val="06EF4360"/>
    <w:rsid w:val="07252BF3"/>
    <w:rsid w:val="07813CA2"/>
    <w:rsid w:val="078A74F0"/>
    <w:rsid w:val="07FD5F3C"/>
    <w:rsid w:val="080363AC"/>
    <w:rsid w:val="08133DF0"/>
    <w:rsid w:val="084E7FD2"/>
    <w:rsid w:val="08844E14"/>
    <w:rsid w:val="0892238B"/>
    <w:rsid w:val="08BA2ED3"/>
    <w:rsid w:val="08BC6D63"/>
    <w:rsid w:val="08E737D7"/>
    <w:rsid w:val="08FD08E8"/>
    <w:rsid w:val="09481D2F"/>
    <w:rsid w:val="095F4DCA"/>
    <w:rsid w:val="096920E5"/>
    <w:rsid w:val="09A9194C"/>
    <w:rsid w:val="09CE728C"/>
    <w:rsid w:val="0A241606"/>
    <w:rsid w:val="0A3E14B8"/>
    <w:rsid w:val="0AAA59EA"/>
    <w:rsid w:val="0AC11BFC"/>
    <w:rsid w:val="0AC6234F"/>
    <w:rsid w:val="0B30729F"/>
    <w:rsid w:val="0B6C284B"/>
    <w:rsid w:val="0BAD62EE"/>
    <w:rsid w:val="0BC861C5"/>
    <w:rsid w:val="0BD0773E"/>
    <w:rsid w:val="0BE12037"/>
    <w:rsid w:val="0BE4613B"/>
    <w:rsid w:val="0BE52F34"/>
    <w:rsid w:val="0C1D61C3"/>
    <w:rsid w:val="0C5E33C9"/>
    <w:rsid w:val="0C88307C"/>
    <w:rsid w:val="0CDE69F2"/>
    <w:rsid w:val="0D363739"/>
    <w:rsid w:val="0D4F295A"/>
    <w:rsid w:val="0D5A7286"/>
    <w:rsid w:val="0D8513B9"/>
    <w:rsid w:val="0DBC2976"/>
    <w:rsid w:val="0DC36668"/>
    <w:rsid w:val="0DC93DAC"/>
    <w:rsid w:val="0DD60599"/>
    <w:rsid w:val="0E2B4529"/>
    <w:rsid w:val="0E5664CA"/>
    <w:rsid w:val="0E566ADE"/>
    <w:rsid w:val="0E8C4491"/>
    <w:rsid w:val="0EC27122"/>
    <w:rsid w:val="0EC57C6C"/>
    <w:rsid w:val="0EF56CA9"/>
    <w:rsid w:val="0EFA5998"/>
    <w:rsid w:val="0F007221"/>
    <w:rsid w:val="0F5D66B3"/>
    <w:rsid w:val="0FCF254B"/>
    <w:rsid w:val="0FDA0D4A"/>
    <w:rsid w:val="0FDB069C"/>
    <w:rsid w:val="103A3182"/>
    <w:rsid w:val="10871EFD"/>
    <w:rsid w:val="10B52A42"/>
    <w:rsid w:val="10B71693"/>
    <w:rsid w:val="10EE712A"/>
    <w:rsid w:val="1144284D"/>
    <w:rsid w:val="117A4B80"/>
    <w:rsid w:val="11852806"/>
    <w:rsid w:val="11991D12"/>
    <w:rsid w:val="119D332E"/>
    <w:rsid w:val="11B175B5"/>
    <w:rsid w:val="11B8670B"/>
    <w:rsid w:val="11EC7B35"/>
    <w:rsid w:val="12117FC3"/>
    <w:rsid w:val="12CB6F57"/>
    <w:rsid w:val="12CD2F6C"/>
    <w:rsid w:val="12D45985"/>
    <w:rsid w:val="130E7E6C"/>
    <w:rsid w:val="13103CCB"/>
    <w:rsid w:val="13206841"/>
    <w:rsid w:val="1332039A"/>
    <w:rsid w:val="13321054"/>
    <w:rsid w:val="13500ABE"/>
    <w:rsid w:val="13723430"/>
    <w:rsid w:val="137D7651"/>
    <w:rsid w:val="137F0717"/>
    <w:rsid w:val="14157F7D"/>
    <w:rsid w:val="1426311D"/>
    <w:rsid w:val="143E1B0C"/>
    <w:rsid w:val="149E36CF"/>
    <w:rsid w:val="14A42BA4"/>
    <w:rsid w:val="14AC3F87"/>
    <w:rsid w:val="14CE7169"/>
    <w:rsid w:val="14F10A08"/>
    <w:rsid w:val="14FC75FD"/>
    <w:rsid w:val="150C18C2"/>
    <w:rsid w:val="15264C6A"/>
    <w:rsid w:val="15727AFD"/>
    <w:rsid w:val="157776A0"/>
    <w:rsid w:val="15EB3D3C"/>
    <w:rsid w:val="15FF5378"/>
    <w:rsid w:val="160C3CF7"/>
    <w:rsid w:val="16224F30"/>
    <w:rsid w:val="162574BF"/>
    <w:rsid w:val="1660675A"/>
    <w:rsid w:val="168C59F4"/>
    <w:rsid w:val="16B122AD"/>
    <w:rsid w:val="16E06F69"/>
    <w:rsid w:val="173368D9"/>
    <w:rsid w:val="17B239FC"/>
    <w:rsid w:val="17BB1266"/>
    <w:rsid w:val="17BE672B"/>
    <w:rsid w:val="17CF2785"/>
    <w:rsid w:val="1822113A"/>
    <w:rsid w:val="1828219E"/>
    <w:rsid w:val="18613639"/>
    <w:rsid w:val="1862221E"/>
    <w:rsid w:val="186D6E94"/>
    <w:rsid w:val="186E2207"/>
    <w:rsid w:val="18B421BD"/>
    <w:rsid w:val="18B7501E"/>
    <w:rsid w:val="18C72B2E"/>
    <w:rsid w:val="18F75FB0"/>
    <w:rsid w:val="191E553B"/>
    <w:rsid w:val="19222F74"/>
    <w:rsid w:val="1969641B"/>
    <w:rsid w:val="19D10348"/>
    <w:rsid w:val="19D431D9"/>
    <w:rsid w:val="1A8E32DC"/>
    <w:rsid w:val="1AD81AC1"/>
    <w:rsid w:val="1B097C64"/>
    <w:rsid w:val="1B257F0B"/>
    <w:rsid w:val="1B426274"/>
    <w:rsid w:val="1B631B13"/>
    <w:rsid w:val="1B65024E"/>
    <w:rsid w:val="1B910040"/>
    <w:rsid w:val="1BBD0FE8"/>
    <w:rsid w:val="1BE3481C"/>
    <w:rsid w:val="1BED1EB2"/>
    <w:rsid w:val="1C096880"/>
    <w:rsid w:val="1C5F1A7C"/>
    <w:rsid w:val="1C7A3BA2"/>
    <w:rsid w:val="1CA155F1"/>
    <w:rsid w:val="1CBB0E33"/>
    <w:rsid w:val="1CD761AC"/>
    <w:rsid w:val="1CD84F93"/>
    <w:rsid w:val="1D7D7008"/>
    <w:rsid w:val="1DA24BE2"/>
    <w:rsid w:val="1E181181"/>
    <w:rsid w:val="1E1845AA"/>
    <w:rsid w:val="1E31742A"/>
    <w:rsid w:val="1E5F69F5"/>
    <w:rsid w:val="1E6A2BED"/>
    <w:rsid w:val="1E7A6705"/>
    <w:rsid w:val="1E81408C"/>
    <w:rsid w:val="1EAF17D2"/>
    <w:rsid w:val="1ECC65D3"/>
    <w:rsid w:val="1ECF7322"/>
    <w:rsid w:val="1EEB73C1"/>
    <w:rsid w:val="1F8F4E11"/>
    <w:rsid w:val="1F911DD3"/>
    <w:rsid w:val="1FEC403D"/>
    <w:rsid w:val="202D6465"/>
    <w:rsid w:val="20397DD1"/>
    <w:rsid w:val="2064766D"/>
    <w:rsid w:val="207D5F28"/>
    <w:rsid w:val="21343390"/>
    <w:rsid w:val="21FB7D39"/>
    <w:rsid w:val="221E3E37"/>
    <w:rsid w:val="22241669"/>
    <w:rsid w:val="223977F4"/>
    <w:rsid w:val="227B2F69"/>
    <w:rsid w:val="22871D61"/>
    <w:rsid w:val="22B46DF3"/>
    <w:rsid w:val="22CF124F"/>
    <w:rsid w:val="231562BD"/>
    <w:rsid w:val="2330267E"/>
    <w:rsid w:val="23550D36"/>
    <w:rsid w:val="235B2DD6"/>
    <w:rsid w:val="235E6B22"/>
    <w:rsid w:val="237E019A"/>
    <w:rsid w:val="23BB7166"/>
    <w:rsid w:val="23CF7C22"/>
    <w:rsid w:val="23D0589D"/>
    <w:rsid w:val="23D97F7B"/>
    <w:rsid w:val="23E42FA5"/>
    <w:rsid w:val="23E666A7"/>
    <w:rsid w:val="241F3250"/>
    <w:rsid w:val="2425560C"/>
    <w:rsid w:val="243064D8"/>
    <w:rsid w:val="243F03DA"/>
    <w:rsid w:val="24541687"/>
    <w:rsid w:val="24693A9B"/>
    <w:rsid w:val="24E76415"/>
    <w:rsid w:val="251A20B6"/>
    <w:rsid w:val="2544474C"/>
    <w:rsid w:val="25BF4387"/>
    <w:rsid w:val="25C70FDF"/>
    <w:rsid w:val="25D75B12"/>
    <w:rsid w:val="25F571A7"/>
    <w:rsid w:val="26057E4F"/>
    <w:rsid w:val="2606763F"/>
    <w:rsid w:val="26102B24"/>
    <w:rsid w:val="26124C30"/>
    <w:rsid w:val="261C1946"/>
    <w:rsid w:val="262C123F"/>
    <w:rsid w:val="267F38E1"/>
    <w:rsid w:val="26831789"/>
    <w:rsid w:val="27094872"/>
    <w:rsid w:val="27303FF0"/>
    <w:rsid w:val="2768503C"/>
    <w:rsid w:val="27C127B9"/>
    <w:rsid w:val="27FC4800"/>
    <w:rsid w:val="28074108"/>
    <w:rsid w:val="28734758"/>
    <w:rsid w:val="289C7242"/>
    <w:rsid w:val="28A153A0"/>
    <w:rsid w:val="28D76B09"/>
    <w:rsid w:val="28E627F1"/>
    <w:rsid w:val="293B573A"/>
    <w:rsid w:val="295329B2"/>
    <w:rsid w:val="29B96CAE"/>
    <w:rsid w:val="29CE64CA"/>
    <w:rsid w:val="29CF3D86"/>
    <w:rsid w:val="29E5607F"/>
    <w:rsid w:val="2A4376AA"/>
    <w:rsid w:val="2A616123"/>
    <w:rsid w:val="2A8A724D"/>
    <w:rsid w:val="2A8D4ABA"/>
    <w:rsid w:val="2ABA69F4"/>
    <w:rsid w:val="2AC948C5"/>
    <w:rsid w:val="2AEF1D9A"/>
    <w:rsid w:val="2B090A62"/>
    <w:rsid w:val="2B253773"/>
    <w:rsid w:val="2B5133C6"/>
    <w:rsid w:val="2B843FDC"/>
    <w:rsid w:val="2B99570B"/>
    <w:rsid w:val="2BA25D49"/>
    <w:rsid w:val="2BE03E82"/>
    <w:rsid w:val="2C5F1CA7"/>
    <w:rsid w:val="2C951A05"/>
    <w:rsid w:val="2CC162E7"/>
    <w:rsid w:val="2D07761B"/>
    <w:rsid w:val="2D1233EE"/>
    <w:rsid w:val="2D6944A3"/>
    <w:rsid w:val="2DB61BBB"/>
    <w:rsid w:val="2DB94CE9"/>
    <w:rsid w:val="2DCA514F"/>
    <w:rsid w:val="2DCF11FB"/>
    <w:rsid w:val="2DFF17BA"/>
    <w:rsid w:val="2E0774F3"/>
    <w:rsid w:val="2E3A472E"/>
    <w:rsid w:val="2E955CE7"/>
    <w:rsid w:val="2EE658B0"/>
    <w:rsid w:val="2EF11B2B"/>
    <w:rsid w:val="2F2335A5"/>
    <w:rsid w:val="2FAE562A"/>
    <w:rsid w:val="2FBC38FA"/>
    <w:rsid w:val="2FE12EDC"/>
    <w:rsid w:val="302F401F"/>
    <w:rsid w:val="30327F2A"/>
    <w:rsid w:val="30854A30"/>
    <w:rsid w:val="309C6121"/>
    <w:rsid w:val="30BD3F73"/>
    <w:rsid w:val="30CD31A8"/>
    <w:rsid w:val="30DB421A"/>
    <w:rsid w:val="30DF492F"/>
    <w:rsid w:val="30F85C59"/>
    <w:rsid w:val="312070DD"/>
    <w:rsid w:val="3128518D"/>
    <w:rsid w:val="312F3DC0"/>
    <w:rsid w:val="3140416D"/>
    <w:rsid w:val="315F0BB9"/>
    <w:rsid w:val="318C67B0"/>
    <w:rsid w:val="319739A8"/>
    <w:rsid w:val="31D42426"/>
    <w:rsid w:val="31E40694"/>
    <w:rsid w:val="31F41F7E"/>
    <w:rsid w:val="31F5386F"/>
    <w:rsid w:val="321E617B"/>
    <w:rsid w:val="32724BF8"/>
    <w:rsid w:val="32BF1D36"/>
    <w:rsid w:val="331E4B17"/>
    <w:rsid w:val="332C1726"/>
    <w:rsid w:val="33BC5261"/>
    <w:rsid w:val="341A0C4B"/>
    <w:rsid w:val="34203F0C"/>
    <w:rsid w:val="343A228F"/>
    <w:rsid w:val="34B4306B"/>
    <w:rsid w:val="35187914"/>
    <w:rsid w:val="353648E1"/>
    <w:rsid w:val="354754F3"/>
    <w:rsid w:val="357D0C3F"/>
    <w:rsid w:val="35845E16"/>
    <w:rsid w:val="358A0327"/>
    <w:rsid w:val="3599272E"/>
    <w:rsid w:val="35B82265"/>
    <w:rsid w:val="35ED49BF"/>
    <w:rsid w:val="35EF72F4"/>
    <w:rsid w:val="361031C3"/>
    <w:rsid w:val="361161DD"/>
    <w:rsid w:val="362C5828"/>
    <w:rsid w:val="36380593"/>
    <w:rsid w:val="36664449"/>
    <w:rsid w:val="36C14E3C"/>
    <w:rsid w:val="36F8590E"/>
    <w:rsid w:val="372859FA"/>
    <w:rsid w:val="37491EAA"/>
    <w:rsid w:val="378131AE"/>
    <w:rsid w:val="37887CD4"/>
    <w:rsid w:val="379A4570"/>
    <w:rsid w:val="37B4442C"/>
    <w:rsid w:val="37C24B8B"/>
    <w:rsid w:val="37CE3124"/>
    <w:rsid w:val="37FD194D"/>
    <w:rsid w:val="380B56A0"/>
    <w:rsid w:val="38522CB3"/>
    <w:rsid w:val="385913FB"/>
    <w:rsid w:val="38626283"/>
    <w:rsid w:val="387B5544"/>
    <w:rsid w:val="38856C31"/>
    <w:rsid w:val="38A23ABB"/>
    <w:rsid w:val="38A63FBA"/>
    <w:rsid w:val="39065861"/>
    <w:rsid w:val="3915225E"/>
    <w:rsid w:val="391A6421"/>
    <w:rsid w:val="392600A2"/>
    <w:rsid w:val="394526A9"/>
    <w:rsid w:val="39821530"/>
    <w:rsid w:val="39B83CF6"/>
    <w:rsid w:val="39CE3A2E"/>
    <w:rsid w:val="39D7270C"/>
    <w:rsid w:val="3A6A1C6F"/>
    <w:rsid w:val="3A9A0F46"/>
    <w:rsid w:val="3B200947"/>
    <w:rsid w:val="3B402E40"/>
    <w:rsid w:val="3B67615E"/>
    <w:rsid w:val="3B99337C"/>
    <w:rsid w:val="3BD72D6F"/>
    <w:rsid w:val="3BF27CD9"/>
    <w:rsid w:val="3BF96718"/>
    <w:rsid w:val="3C3517CD"/>
    <w:rsid w:val="3C3F611B"/>
    <w:rsid w:val="3C6A11FE"/>
    <w:rsid w:val="3C8C3AE7"/>
    <w:rsid w:val="3CA50704"/>
    <w:rsid w:val="3CC47FBE"/>
    <w:rsid w:val="3CD2192F"/>
    <w:rsid w:val="3CDE3955"/>
    <w:rsid w:val="3CFF56B7"/>
    <w:rsid w:val="3D040A19"/>
    <w:rsid w:val="3DB005BB"/>
    <w:rsid w:val="3DB8555B"/>
    <w:rsid w:val="3DF231DE"/>
    <w:rsid w:val="3E16140E"/>
    <w:rsid w:val="3E8979BC"/>
    <w:rsid w:val="3E9F3A9D"/>
    <w:rsid w:val="3EBE6234"/>
    <w:rsid w:val="3EED415E"/>
    <w:rsid w:val="3F0535F0"/>
    <w:rsid w:val="3F0679F2"/>
    <w:rsid w:val="3F255515"/>
    <w:rsid w:val="3F535113"/>
    <w:rsid w:val="3F6A44E0"/>
    <w:rsid w:val="3FAB3A80"/>
    <w:rsid w:val="3FE909A5"/>
    <w:rsid w:val="3FF30E5B"/>
    <w:rsid w:val="40110568"/>
    <w:rsid w:val="402B0B23"/>
    <w:rsid w:val="402B44FE"/>
    <w:rsid w:val="40744F29"/>
    <w:rsid w:val="40E648D9"/>
    <w:rsid w:val="414824D9"/>
    <w:rsid w:val="414E1347"/>
    <w:rsid w:val="417E613B"/>
    <w:rsid w:val="41DC5120"/>
    <w:rsid w:val="41E63CED"/>
    <w:rsid w:val="41FD04A7"/>
    <w:rsid w:val="42120E54"/>
    <w:rsid w:val="421C13D3"/>
    <w:rsid w:val="42291F33"/>
    <w:rsid w:val="42344043"/>
    <w:rsid w:val="42620EC4"/>
    <w:rsid w:val="426858A3"/>
    <w:rsid w:val="42801CA8"/>
    <w:rsid w:val="428B7D69"/>
    <w:rsid w:val="429077F5"/>
    <w:rsid w:val="429E49F1"/>
    <w:rsid w:val="42A50854"/>
    <w:rsid w:val="42C31FC9"/>
    <w:rsid w:val="42F866A0"/>
    <w:rsid w:val="43271099"/>
    <w:rsid w:val="439164B4"/>
    <w:rsid w:val="43916741"/>
    <w:rsid w:val="43C06D9A"/>
    <w:rsid w:val="43CC1C31"/>
    <w:rsid w:val="43E327B0"/>
    <w:rsid w:val="442A1849"/>
    <w:rsid w:val="443C0D65"/>
    <w:rsid w:val="444A2640"/>
    <w:rsid w:val="44642214"/>
    <w:rsid w:val="44714835"/>
    <w:rsid w:val="44A30A74"/>
    <w:rsid w:val="452E2C8F"/>
    <w:rsid w:val="456A0B7C"/>
    <w:rsid w:val="456A627C"/>
    <w:rsid w:val="4588754F"/>
    <w:rsid w:val="45E01950"/>
    <w:rsid w:val="45ED44A8"/>
    <w:rsid w:val="46920A04"/>
    <w:rsid w:val="46A87C45"/>
    <w:rsid w:val="46E12B83"/>
    <w:rsid w:val="46EF5FD4"/>
    <w:rsid w:val="46FA4632"/>
    <w:rsid w:val="470764C4"/>
    <w:rsid w:val="471E0405"/>
    <w:rsid w:val="474A659D"/>
    <w:rsid w:val="476A33B0"/>
    <w:rsid w:val="47890E52"/>
    <w:rsid w:val="47AD56C8"/>
    <w:rsid w:val="47AD7FFB"/>
    <w:rsid w:val="47CD3EB5"/>
    <w:rsid w:val="47E409D9"/>
    <w:rsid w:val="47EF29AA"/>
    <w:rsid w:val="47F94B3E"/>
    <w:rsid w:val="482F7D8B"/>
    <w:rsid w:val="48634289"/>
    <w:rsid w:val="48903CD4"/>
    <w:rsid w:val="48A353BD"/>
    <w:rsid w:val="48C53FA2"/>
    <w:rsid w:val="4910126D"/>
    <w:rsid w:val="49150B44"/>
    <w:rsid w:val="491E430D"/>
    <w:rsid w:val="49422FB8"/>
    <w:rsid w:val="494E7F62"/>
    <w:rsid w:val="49526E40"/>
    <w:rsid w:val="497228B1"/>
    <w:rsid w:val="499606DC"/>
    <w:rsid w:val="49B45423"/>
    <w:rsid w:val="4A1123E6"/>
    <w:rsid w:val="4A1E4200"/>
    <w:rsid w:val="4A2A32C5"/>
    <w:rsid w:val="4A2E49D8"/>
    <w:rsid w:val="4A595B5A"/>
    <w:rsid w:val="4AA24CE1"/>
    <w:rsid w:val="4AA41E74"/>
    <w:rsid w:val="4AB04EA8"/>
    <w:rsid w:val="4AC4705A"/>
    <w:rsid w:val="4AFA629C"/>
    <w:rsid w:val="4AFF00F1"/>
    <w:rsid w:val="4B0F08EF"/>
    <w:rsid w:val="4B354F2C"/>
    <w:rsid w:val="4B466163"/>
    <w:rsid w:val="4BB14487"/>
    <w:rsid w:val="4BC61B97"/>
    <w:rsid w:val="4C195669"/>
    <w:rsid w:val="4C232B47"/>
    <w:rsid w:val="4C3C0DCE"/>
    <w:rsid w:val="4C491A13"/>
    <w:rsid w:val="4CAE347D"/>
    <w:rsid w:val="4CC26839"/>
    <w:rsid w:val="4CCD7291"/>
    <w:rsid w:val="4CD51B7E"/>
    <w:rsid w:val="4CDD0FD4"/>
    <w:rsid w:val="4D0D1C9B"/>
    <w:rsid w:val="4D0D4D4F"/>
    <w:rsid w:val="4D10735C"/>
    <w:rsid w:val="4D361C32"/>
    <w:rsid w:val="4D601AE2"/>
    <w:rsid w:val="4D7049C1"/>
    <w:rsid w:val="4DC06B14"/>
    <w:rsid w:val="4DD66A77"/>
    <w:rsid w:val="4E265986"/>
    <w:rsid w:val="4E2D13DE"/>
    <w:rsid w:val="4EA075C7"/>
    <w:rsid w:val="4EC75A30"/>
    <w:rsid w:val="4F041192"/>
    <w:rsid w:val="4F2316F5"/>
    <w:rsid w:val="4F2612FA"/>
    <w:rsid w:val="4F53258B"/>
    <w:rsid w:val="4F607E10"/>
    <w:rsid w:val="4F7D3435"/>
    <w:rsid w:val="4F884DF6"/>
    <w:rsid w:val="4F9344BA"/>
    <w:rsid w:val="4FE82896"/>
    <w:rsid w:val="50120C0E"/>
    <w:rsid w:val="501525FE"/>
    <w:rsid w:val="5030724C"/>
    <w:rsid w:val="507B7D17"/>
    <w:rsid w:val="507F5C7B"/>
    <w:rsid w:val="509217FC"/>
    <w:rsid w:val="50BF7656"/>
    <w:rsid w:val="51D81113"/>
    <w:rsid w:val="52035FBF"/>
    <w:rsid w:val="520514EF"/>
    <w:rsid w:val="521A4BC3"/>
    <w:rsid w:val="521A7322"/>
    <w:rsid w:val="525541DF"/>
    <w:rsid w:val="525C6B56"/>
    <w:rsid w:val="525D7591"/>
    <w:rsid w:val="525F6CEA"/>
    <w:rsid w:val="529C3971"/>
    <w:rsid w:val="52D2612E"/>
    <w:rsid w:val="52D92415"/>
    <w:rsid w:val="52DA264F"/>
    <w:rsid w:val="52EA5E88"/>
    <w:rsid w:val="52F12C75"/>
    <w:rsid w:val="533859AB"/>
    <w:rsid w:val="53451F10"/>
    <w:rsid w:val="53636062"/>
    <w:rsid w:val="536B31D0"/>
    <w:rsid w:val="537A71B1"/>
    <w:rsid w:val="538C5A01"/>
    <w:rsid w:val="53A30282"/>
    <w:rsid w:val="53AA66D8"/>
    <w:rsid w:val="53AF2682"/>
    <w:rsid w:val="54591DB9"/>
    <w:rsid w:val="546318B1"/>
    <w:rsid w:val="54BC3514"/>
    <w:rsid w:val="54D26053"/>
    <w:rsid w:val="54DB3F82"/>
    <w:rsid w:val="54EA5A53"/>
    <w:rsid w:val="54FF1896"/>
    <w:rsid w:val="55020795"/>
    <w:rsid w:val="551F0E89"/>
    <w:rsid w:val="55230874"/>
    <w:rsid w:val="555B0CBB"/>
    <w:rsid w:val="555D6E7C"/>
    <w:rsid w:val="557F6917"/>
    <w:rsid w:val="558A4A07"/>
    <w:rsid w:val="55DF7EC6"/>
    <w:rsid w:val="55E37849"/>
    <w:rsid w:val="55F02C7C"/>
    <w:rsid w:val="563A3328"/>
    <w:rsid w:val="56591DFA"/>
    <w:rsid w:val="56A70CFA"/>
    <w:rsid w:val="56BD298E"/>
    <w:rsid w:val="56EB79D1"/>
    <w:rsid w:val="56FC483D"/>
    <w:rsid w:val="570A30B8"/>
    <w:rsid w:val="570A56B3"/>
    <w:rsid w:val="571A5F3D"/>
    <w:rsid w:val="57256A12"/>
    <w:rsid w:val="57415CC7"/>
    <w:rsid w:val="576C0F0A"/>
    <w:rsid w:val="57F3769F"/>
    <w:rsid w:val="581B08BF"/>
    <w:rsid w:val="58202815"/>
    <w:rsid w:val="58561447"/>
    <w:rsid w:val="585F39CD"/>
    <w:rsid w:val="58B1139E"/>
    <w:rsid w:val="58C75CC9"/>
    <w:rsid w:val="58D52AD2"/>
    <w:rsid w:val="58FA0EE9"/>
    <w:rsid w:val="58FA6E7D"/>
    <w:rsid w:val="59275AC4"/>
    <w:rsid w:val="59514B1D"/>
    <w:rsid w:val="595268D6"/>
    <w:rsid w:val="59C72AFC"/>
    <w:rsid w:val="59F024F9"/>
    <w:rsid w:val="5A05358F"/>
    <w:rsid w:val="5A261740"/>
    <w:rsid w:val="5A507279"/>
    <w:rsid w:val="5A7350A0"/>
    <w:rsid w:val="5A80428F"/>
    <w:rsid w:val="5A842F8E"/>
    <w:rsid w:val="5A9C4DC4"/>
    <w:rsid w:val="5ACD5CF2"/>
    <w:rsid w:val="5B277515"/>
    <w:rsid w:val="5B2D6F5A"/>
    <w:rsid w:val="5B331422"/>
    <w:rsid w:val="5B4B50AF"/>
    <w:rsid w:val="5B535431"/>
    <w:rsid w:val="5B667C4A"/>
    <w:rsid w:val="5B774EE9"/>
    <w:rsid w:val="5B79256B"/>
    <w:rsid w:val="5B94552E"/>
    <w:rsid w:val="5BB53149"/>
    <w:rsid w:val="5BC81A00"/>
    <w:rsid w:val="5BE04501"/>
    <w:rsid w:val="5BEE2621"/>
    <w:rsid w:val="5C132B42"/>
    <w:rsid w:val="5C8859C8"/>
    <w:rsid w:val="5C9F6CF4"/>
    <w:rsid w:val="5D0F033B"/>
    <w:rsid w:val="5D392385"/>
    <w:rsid w:val="5D6C5B56"/>
    <w:rsid w:val="5E260772"/>
    <w:rsid w:val="5EC874C9"/>
    <w:rsid w:val="5EF24DA2"/>
    <w:rsid w:val="5FED08DD"/>
    <w:rsid w:val="60040EF0"/>
    <w:rsid w:val="60227A9F"/>
    <w:rsid w:val="60264997"/>
    <w:rsid w:val="602C39A5"/>
    <w:rsid w:val="607559B3"/>
    <w:rsid w:val="60933E95"/>
    <w:rsid w:val="60AA27F8"/>
    <w:rsid w:val="60B04F57"/>
    <w:rsid w:val="60EC6862"/>
    <w:rsid w:val="60FC186D"/>
    <w:rsid w:val="611537F8"/>
    <w:rsid w:val="61204188"/>
    <w:rsid w:val="61261F0B"/>
    <w:rsid w:val="61AA11FA"/>
    <w:rsid w:val="61DA183C"/>
    <w:rsid w:val="61F52D7F"/>
    <w:rsid w:val="61FA41D1"/>
    <w:rsid w:val="620B044D"/>
    <w:rsid w:val="62493625"/>
    <w:rsid w:val="62550DDE"/>
    <w:rsid w:val="62931639"/>
    <w:rsid w:val="6296403D"/>
    <w:rsid w:val="62DB0153"/>
    <w:rsid w:val="62DC32EA"/>
    <w:rsid w:val="62F5666D"/>
    <w:rsid w:val="63273C7E"/>
    <w:rsid w:val="637B0492"/>
    <w:rsid w:val="637F58CF"/>
    <w:rsid w:val="63A73AF8"/>
    <w:rsid w:val="63B40048"/>
    <w:rsid w:val="63B66913"/>
    <w:rsid w:val="63BB10B1"/>
    <w:rsid w:val="63C73939"/>
    <w:rsid w:val="63CC2033"/>
    <w:rsid w:val="64777723"/>
    <w:rsid w:val="647C4CD7"/>
    <w:rsid w:val="649E1970"/>
    <w:rsid w:val="64A24A5E"/>
    <w:rsid w:val="64BF3AD3"/>
    <w:rsid w:val="64C56CDB"/>
    <w:rsid w:val="64E814EB"/>
    <w:rsid w:val="650B1B8F"/>
    <w:rsid w:val="65291EA2"/>
    <w:rsid w:val="65332235"/>
    <w:rsid w:val="656A22B4"/>
    <w:rsid w:val="65B66D6A"/>
    <w:rsid w:val="65C457D9"/>
    <w:rsid w:val="65D1151D"/>
    <w:rsid w:val="65E85CA0"/>
    <w:rsid w:val="66245C93"/>
    <w:rsid w:val="66276EC7"/>
    <w:rsid w:val="66446DEC"/>
    <w:rsid w:val="664869A4"/>
    <w:rsid w:val="666D0A4F"/>
    <w:rsid w:val="66A713A5"/>
    <w:rsid w:val="67290615"/>
    <w:rsid w:val="678C3A91"/>
    <w:rsid w:val="67AF3556"/>
    <w:rsid w:val="6814374C"/>
    <w:rsid w:val="68741416"/>
    <w:rsid w:val="687C2186"/>
    <w:rsid w:val="68A93106"/>
    <w:rsid w:val="68FC46E5"/>
    <w:rsid w:val="69013AB0"/>
    <w:rsid w:val="6938145A"/>
    <w:rsid w:val="693878B5"/>
    <w:rsid w:val="6959793C"/>
    <w:rsid w:val="696F3BB1"/>
    <w:rsid w:val="699B0E75"/>
    <w:rsid w:val="69AA6710"/>
    <w:rsid w:val="69B0240D"/>
    <w:rsid w:val="69D676D8"/>
    <w:rsid w:val="69FD42DC"/>
    <w:rsid w:val="6A4F6696"/>
    <w:rsid w:val="6AC34A89"/>
    <w:rsid w:val="6AD669AF"/>
    <w:rsid w:val="6AD7740C"/>
    <w:rsid w:val="6B320486"/>
    <w:rsid w:val="6B6A232F"/>
    <w:rsid w:val="6B7F4F64"/>
    <w:rsid w:val="6B985B49"/>
    <w:rsid w:val="6BA50A99"/>
    <w:rsid w:val="6BD95679"/>
    <w:rsid w:val="6BDA42B5"/>
    <w:rsid w:val="6BDF78AB"/>
    <w:rsid w:val="6C4E0156"/>
    <w:rsid w:val="6C7C344D"/>
    <w:rsid w:val="6C7E0B6F"/>
    <w:rsid w:val="6C8661B1"/>
    <w:rsid w:val="6CE74D46"/>
    <w:rsid w:val="6D041F93"/>
    <w:rsid w:val="6D2672A0"/>
    <w:rsid w:val="6D6B02CB"/>
    <w:rsid w:val="6D6F3A26"/>
    <w:rsid w:val="6D790DCD"/>
    <w:rsid w:val="6D842802"/>
    <w:rsid w:val="6D8B3926"/>
    <w:rsid w:val="6DA02079"/>
    <w:rsid w:val="6DCE5BAC"/>
    <w:rsid w:val="6DEE5592"/>
    <w:rsid w:val="6E454D44"/>
    <w:rsid w:val="6E6B6190"/>
    <w:rsid w:val="6EA27617"/>
    <w:rsid w:val="6EB72057"/>
    <w:rsid w:val="6EDE7D34"/>
    <w:rsid w:val="6F005996"/>
    <w:rsid w:val="6F193632"/>
    <w:rsid w:val="6F4518CD"/>
    <w:rsid w:val="6F5127C3"/>
    <w:rsid w:val="6F5D4B2D"/>
    <w:rsid w:val="6F837261"/>
    <w:rsid w:val="6F8F7C68"/>
    <w:rsid w:val="6FA37FE2"/>
    <w:rsid w:val="6FD85F3C"/>
    <w:rsid w:val="6FF73949"/>
    <w:rsid w:val="7006746D"/>
    <w:rsid w:val="700D6553"/>
    <w:rsid w:val="70312A4D"/>
    <w:rsid w:val="70453864"/>
    <w:rsid w:val="709C7D80"/>
    <w:rsid w:val="70BB49F8"/>
    <w:rsid w:val="71172EDB"/>
    <w:rsid w:val="71732F69"/>
    <w:rsid w:val="71EC1891"/>
    <w:rsid w:val="71FF423E"/>
    <w:rsid w:val="72370BF8"/>
    <w:rsid w:val="72471359"/>
    <w:rsid w:val="726841BF"/>
    <w:rsid w:val="72786E03"/>
    <w:rsid w:val="72A5169A"/>
    <w:rsid w:val="72B230B4"/>
    <w:rsid w:val="72B43986"/>
    <w:rsid w:val="72BE09AB"/>
    <w:rsid w:val="72ED06CD"/>
    <w:rsid w:val="72FC197A"/>
    <w:rsid w:val="733A2929"/>
    <w:rsid w:val="734A7553"/>
    <w:rsid w:val="73697607"/>
    <w:rsid w:val="739B1B1E"/>
    <w:rsid w:val="73C951B1"/>
    <w:rsid w:val="73CC6C0A"/>
    <w:rsid w:val="73D85460"/>
    <w:rsid w:val="73F20C63"/>
    <w:rsid w:val="73F80048"/>
    <w:rsid w:val="740A3A03"/>
    <w:rsid w:val="74141BC1"/>
    <w:rsid w:val="743B1996"/>
    <w:rsid w:val="74AA1283"/>
    <w:rsid w:val="74B818E9"/>
    <w:rsid w:val="74C35169"/>
    <w:rsid w:val="74F913DC"/>
    <w:rsid w:val="74F96E45"/>
    <w:rsid w:val="75097F47"/>
    <w:rsid w:val="753024D4"/>
    <w:rsid w:val="75863077"/>
    <w:rsid w:val="7595175B"/>
    <w:rsid w:val="759A2E0F"/>
    <w:rsid w:val="75A62213"/>
    <w:rsid w:val="75B2103A"/>
    <w:rsid w:val="75D06987"/>
    <w:rsid w:val="761E799F"/>
    <w:rsid w:val="763D5845"/>
    <w:rsid w:val="764C456C"/>
    <w:rsid w:val="7655218A"/>
    <w:rsid w:val="765E3F41"/>
    <w:rsid w:val="7698671C"/>
    <w:rsid w:val="769B702C"/>
    <w:rsid w:val="76E445A8"/>
    <w:rsid w:val="772B7CE4"/>
    <w:rsid w:val="77633C12"/>
    <w:rsid w:val="77DD2260"/>
    <w:rsid w:val="77E3795C"/>
    <w:rsid w:val="78240EE1"/>
    <w:rsid w:val="786D7579"/>
    <w:rsid w:val="789C3C16"/>
    <w:rsid w:val="78AE1E2F"/>
    <w:rsid w:val="78B1649A"/>
    <w:rsid w:val="78D27CBB"/>
    <w:rsid w:val="790A3669"/>
    <w:rsid w:val="79521F3A"/>
    <w:rsid w:val="79810D13"/>
    <w:rsid w:val="79A268B0"/>
    <w:rsid w:val="79A5213A"/>
    <w:rsid w:val="79B2381F"/>
    <w:rsid w:val="79B46776"/>
    <w:rsid w:val="79CC0A3B"/>
    <w:rsid w:val="7A242CAF"/>
    <w:rsid w:val="7AB87F9F"/>
    <w:rsid w:val="7B0A0B62"/>
    <w:rsid w:val="7B447FD7"/>
    <w:rsid w:val="7B686625"/>
    <w:rsid w:val="7B863055"/>
    <w:rsid w:val="7B8F506B"/>
    <w:rsid w:val="7BB05C23"/>
    <w:rsid w:val="7BB07A07"/>
    <w:rsid w:val="7BCA169A"/>
    <w:rsid w:val="7BE6362C"/>
    <w:rsid w:val="7C606F1E"/>
    <w:rsid w:val="7C8C29C6"/>
    <w:rsid w:val="7CDB76C4"/>
    <w:rsid w:val="7D035BF3"/>
    <w:rsid w:val="7D037A0B"/>
    <w:rsid w:val="7D2B2B21"/>
    <w:rsid w:val="7D315FAF"/>
    <w:rsid w:val="7D585341"/>
    <w:rsid w:val="7D59288F"/>
    <w:rsid w:val="7DC55729"/>
    <w:rsid w:val="7E2046B4"/>
    <w:rsid w:val="7E3A0736"/>
    <w:rsid w:val="7E481D67"/>
    <w:rsid w:val="7E8A5DE8"/>
    <w:rsid w:val="7F1A0E98"/>
    <w:rsid w:val="7F3815AA"/>
    <w:rsid w:val="7F4B6661"/>
    <w:rsid w:val="7F655AF3"/>
    <w:rsid w:val="7F7C4EC6"/>
    <w:rsid w:val="7F814AA2"/>
    <w:rsid w:val="7F9160B6"/>
    <w:rsid w:val="7F962B05"/>
    <w:rsid w:val="7FDA348D"/>
    <w:rsid w:val="7FDA3C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semiHidden="0" w:name="heading 3"/>
    <w:lsdException w:qFormat="1" w:uiPriority="9" w:semiHidden="0" w:name="heading 4"/>
    <w:lsdException w:qFormat="1" w:unhideWhenUsed="0"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iPriority="99" w:semiHidden="0" w:name="Normal Indent"/>
    <w:lsdException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99"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iPriority="99"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iPriority="99" w:semiHidden="0" w:name="Document Map"/>
    <w:lsdException w:qFormat="1"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iPriority="99"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1"/>
    <w:basedOn w:val="1"/>
    <w:next w:val="1"/>
    <w:link w:val="63"/>
    <w:qFormat/>
    <w:uiPriority w:val="9"/>
    <w:pPr>
      <w:keepNext/>
      <w:keepLines/>
      <w:spacing w:before="240" w:after="240" w:line="360" w:lineRule="auto"/>
      <w:outlineLvl w:val="0"/>
    </w:pPr>
    <w:rPr>
      <w:rFonts w:ascii="Calibri" w:hAnsi="Calibri" w:eastAsia="仿宋" w:cs="Times New Roman"/>
      <w:b/>
      <w:bCs/>
      <w:kern w:val="44"/>
      <w:sz w:val="28"/>
      <w:szCs w:val="44"/>
      <w:lang w:val="zh-CN"/>
    </w:rPr>
  </w:style>
  <w:style w:type="paragraph" w:styleId="6">
    <w:name w:val="heading 2"/>
    <w:basedOn w:val="1"/>
    <w:next w:val="1"/>
    <w:link w:val="64"/>
    <w:unhideWhenUsed/>
    <w:qFormat/>
    <w:uiPriority w:val="0"/>
    <w:pPr>
      <w:spacing w:beforeAutospacing="1" w:afterAutospacing="1"/>
      <w:jc w:val="left"/>
      <w:outlineLvl w:val="1"/>
    </w:pPr>
    <w:rPr>
      <w:rFonts w:hint="eastAsia" w:ascii="宋体" w:hAnsi="宋体" w:eastAsia="宋体" w:cs="Times New Roman"/>
      <w:b/>
      <w:kern w:val="0"/>
      <w:sz w:val="36"/>
      <w:szCs w:val="36"/>
    </w:rPr>
  </w:style>
  <w:style w:type="paragraph" w:styleId="7">
    <w:name w:val="heading 3"/>
    <w:basedOn w:val="1"/>
    <w:next w:val="1"/>
    <w:link w:val="71"/>
    <w:unhideWhenUsed/>
    <w:qFormat/>
    <w:uiPriority w:val="9"/>
    <w:pPr>
      <w:spacing w:beforeAutospacing="1" w:afterAutospacing="1"/>
      <w:jc w:val="left"/>
      <w:outlineLvl w:val="2"/>
    </w:pPr>
    <w:rPr>
      <w:rFonts w:hint="eastAsia" w:ascii="宋体" w:hAnsi="宋体" w:eastAsia="宋体" w:cs="Times New Roman"/>
      <w:b/>
      <w:kern w:val="0"/>
      <w:sz w:val="27"/>
      <w:szCs w:val="27"/>
    </w:rPr>
  </w:style>
  <w:style w:type="paragraph" w:styleId="8">
    <w:name w:val="heading 4"/>
    <w:basedOn w:val="9"/>
    <w:next w:val="1"/>
    <w:link w:val="44"/>
    <w:unhideWhenUsed/>
    <w:qFormat/>
    <w:uiPriority w:val="9"/>
    <w:pPr>
      <w:spacing w:before="0" w:after="0" w:line="360" w:lineRule="auto"/>
      <w:ind w:left="0" w:firstLine="424" w:firstLineChars="176"/>
      <w:outlineLvl w:val="3"/>
    </w:pPr>
    <w:rPr>
      <w:sz w:val="24"/>
    </w:rPr>
  </w:style>
  <w:style w:type="paragraph" w:styleId="9">
    <w:name w:val="heading 5"/>
    <w:basedOn w:val="1"/>
    <w:next w:val="1"/>
    <w:link w:val="45"/>
    <w:qFormat/>
    <w:uiPriority w:val="9"/>
    <w:pPr>
      <w:keepNext/>
      <w:keepLines/>
      <w:spacing w:before="280" w:after="290" w:line="376" w:lineRule="auto"/>
      <w:ind w:left="568"/>
      <w:outlineLvl w:val="4"/>
    </w:pPr>
    <w:rPr>
      <w:rFonts w:ascii="Times New Roman" w:hAnsi="Times New Roman" w:eastAsia="宋体" w:cs="Times New Roman"/>
      <w:b/>
      <w:bCs/>
      <w:sz w:val="28"/>
      <w:szCs w:val="28"/>
      <w:lang w:val="zh-CN"/>
    </w:rPr>
  </w:style>
  <w:style w:type="paragraph" w:styleId="10">
    <w:name w:val="heading 6"/>
    <w:basedOn w:val="1"/>
    <w:next w:val="1"/>
    <w:link w:val="46"/>
    <w:unhideWhenUsed/>
    <w:qFormat/>
    <w:uiPriority w:val="9"/>
    <w:pPr>
      <w:keepNext/>
      <w:keepLines/>
      <w:adjustRightInd w:val="0"/>
      <w:spacing w:line="360" w:lineRule="auto"/>
      <w:outlineLvl w:val="5"/>
    </w:pPr>
    <w:rPr>
      <w:rFonts w:ascii="Times New Roman" w:hAnsi="Times New Roman" w:eastAsia="宋体" w:cs="Times New Roman"/>
      <w:b/>
      <w:bCs/>
      <w:sz w:val="24"/>
      <w:lang w:val="zh-CN"/>
    </w:rPr>
  </w:style>
  <w:style w:type="paragraph" w:styleId="11">
    <w:name w:val="heading 7"/>
    <w:basedOn w:val="1"/>
    <w:next w:val="1"/>
    <w:link w:val="47"/>
    <w:unhideWhenUsed/>
    <w:qFormat/>
    <w:uiPriority w:val="9"/>
    <w:pPr>
      <w:keepNext/>
      <w:keepLines/>
      <w:adjustRightInd w:val="0"/>
      <w:spacing w:before="240" w:after="64" w:line="319" w:lineRule="auto"/>
      <w:outlineLvl w:val="6"/>
    </w:pPr>
    <w:rPr>
      <w:rFonts w:ascii="Times New Roman" w:hAnsi="Times New Roman" w:eastAsia="宋体" w:cs="Times New Roman"/>
      <w:b/>
      <w:bCs/>
      <w:sz w:val="24"/>
      <w:lang w:val="zh-CN"/>
    </w:rPr>
  </w:style>
  <w:style w:type="paragraph" w:styleId="12">
    <w:name w:val="heading 8"/>
    <w:basedOn w:val="1"/>
    <w:next w:val="1"/>
    <w:link w:val="48"/>
    <w:unhideWhenUsed/>
    <w:qFormat/>
    <w:uiPriority w:val="9"/>
    <w:pPr>
      <w:keepNext/>
      <w:keepLines/>
      <w:adjustRightInd w:val="0"/>
      <w:spacing w:before="240" w:after="64" w:line="320" w:lineRule="auto"/>
      <w:outlineLvl w:val="7"/>
    </w:pPr>
    <w:rPr>
      <w:rFonts w:ascii="Cambria" w:hAnsi="Cambria" w:eastAsia="宋体" w:cs="Times New Roman"/>
      <w:sz w:val="24"/>
      <w:lang w:val="zh-CN"/>
    </w:rPr>
  </w:style>
  <w:style w:type="paragraph" w:styleId="13">
    <w:name w:val="heading 9"/>
    <w:basedOn w:val="1"/>
    <w:next w:val="1"/>
    <w:link w:val="49"/>
    <w:unhideWhenUsed/>
    <w:qFormat/>
    <w:uiPriority w:val="9"/>
    <w:pPr>
      <w:keepNext/>
      <w:keepLines/>
      <w:adjustRightInd w:val="0"/>
      <w:spacing w:before="240" w:after="64" w:line="320" w:lineRule="auto"/>
      <w:outlineLvl w:val="8"/>
    </w:pPr>
    <w:rPr>
      <w:rFonts w:ascii="Cambria" w:hAnsi="Cambria" w:eastAsia="宋体" w:cs="Times New Roman"/>
      <w:sz w:val="24"/>
      <w:szCs w:val="21"/>
      <w:lang w:val="zh-CN"/>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0"/>
    <w:pPr>
      <w:ind w:firstLine="420" w:firstLineChars="200"/>
    </w:pPr>
  </w:style>
  <w:style w:type="paragraph" w:styleId="3">
    <w:name w:val="Body Text Indent"/>
    <w:basedOn w:val="1"/>
    <w:next w:val="4"/>
    <w:unhideWhenUsed/>
    <w:qFormat/>
    <w:uiPriority w:val="99"/>
    <w:pPr>
      <w:spacing w:after="120"/>
      <w:ind w:left="420" w:leftChars="200"/>
    </w:pPr>
  </w:style>
  <w:style w:type="paragraph" w:styleId="4">
    <w:name w:val="Normal Indent"/>
    <w:basedOn w:val="1"/>
    <w:unhideWhenUsed/>
    <w:qFormat/>
    <w:uiPriority w:val="99"/>
    <w:pPr>
      <w:ind w:firstLine="420" w:firstLineChars="200"/>
    </w:pPr>
  </w:style>
  <w:style w:type="paragraph" w:styleId="14">
    <w:name w:val="toc 7"/>
    <w:basedOn w:val="1"/>
    <w:next w:val="1"/>
    <w:unhideWhenUsed/>
    <w:qFormat/>
    <w:uiPriority w:val="39"/>
    <w:pPr>
      <w:ind w:left="2520" w:leftChars="1200"/>
    </w:pPr>
    <w:rPr>
      <w:rFonts w:ascii="Calibri" w:hAnsi="Calibri" w:eastAsia="宋体" w:cs="Times New Roman"/>
      <w:szCs w:val="22"/>
    </w:rPr>
  </w:style>
  <w:style w:type="paragraph" w:styleId="15">
    <w:name w:val="Document Map"/>
    <w:basedOn w:val="1"/>
    <w:link w:val="52"/>
    <w:unhideWhenUsed/>
    <w:qFormat/>
    <w:uiPriority w:val="99"/>
    <w:pPr>
      <w:spacing w:line="360" w:lineRule="auto"/>
      <w:ind w:firstLine="200" w:firstLineChars="200"/>
    </w:pPr>
    <w:rPr>
      <w:rFonts w:ascii="宋体" w:hAnsi="Calibri" w:eastAsia="宋体" w:cs="Times New Roman"/>
      <w:kern w:val="0"/>
      <w:sz w:val="18"/>
      <w:szCs w:val="18"/>
      <w:lang w:val="zh-CN"/>
    </w:rPr>
  </w:style>
  <w:style w:type="paragraph" w:styleId="16">
    <w:name w:val="annotation text"/>
    <w:basedOn w:val="1"/>
    <w:link w:val="50"/>
    <w:qFormat/>
    <w:uiPriority w:val="99"/>
    <w:pPr>
      <w:jc w:val="left"/>
    </w:pPr>
  </w:style>
  <w:style w:type="paragraph" w:styleId="17">
    <w:name w:val="Body Text"/>
    <w:basedOn w:val="1"/>
    <w:link w:val="53"/>
    <w:qFormat/>
    <w:uiPriority w:val="0"/>
    <w:pPr>
      <w:spacing w:line="620" w:lineRule="exact"/>
    </w:pPr>
    <w:rPr>
      <w:rFonts w:ascii="Times New Roman" w:hAnsi="Times New Roman" w:eastAsia="仿宋_GB2312" w:cs="Times New Roman"/>
      <w:kern w:val="0"/>
      <w:sz w:val="28"/>
      <w:lang w:val="zh-CN"/>
    </w:rPr>
  </w:style>
  <w:style w:type="paragraph" w:styleId="18">
    <w:name w:val="toc 5"/>
    <w:basedOn w:val="1"/>
    <w:next w:val="1"/>
    <w:unhideWhenUsed/>
    <w:qFormat/>
    <w:uiPriority w:val="39"/>
    <w:pPr>
      <w:ind w:left="1680" w:leftChars="800"/>
    </w:pPr>
    <w:rPr>
      <w:rFonts w:ascii="Calibri" w:hAnsi="Calibri" w:eastAsia="宋体" w:cs="Times New Roman"/>
      <w:szCs w:val="22"/>
    </w:rPr>
  </w:style>
  <w:style w:type="paragraph" w:styleId="19">
    <w:name w:val="toc 3"/>
    <w:basedOn w:val="1"/>
    <w:next w:val="1"/>
    <w:unhideWhenUsed/>
    <w:qFormat/>
    <w:uiPriority w:val="39"/>
    <w:pPr>
      <w:spacing w:line="360" w:lineRule="auto"/>
      <w:ind w:left="840" w:leftChars="400" w:firstLine="200" w:firstLineChars="200"/>
    </w:pPr>
    <w:rPr>
      <w:rFonts w:ascii="Times New Roman" w:hAnsi="Times New Roman" w:eastAsia="宋体" w:cs="Times New Roman"/>
      <w:sz w:val="24"/>
      <w:szCs w:val="22"/>
    </w:rPr>
  </w:style>
  <w:style w:type="paragraph" w:styleId="20">
    <w:name w:val="Plain Text"/>
    <w:basedOn w:val="1"/>
    <w:link w:val="54"/>
    <w:unhideWhenUsed/>
    <w:qFormat/>
    <w:uiPriority w:val="0"/>
    <w:rPr>
      <w:rFonts w:ascii="宋体" w:hAnsi="Courier New" w:eastAsia="宋体" w:cs="Times New Roman"/>
      <w:kern w:val="0"/>
      <w:szCs w:val="20"/>
    </w:rPr>
  </w:style>
  <w:style w:type="paragraph" w:styleId="21">
    <w:name w:val="toc 8"/>
    <w:basedOn w:val="1"/>
    <w:next w:val="1"/>
    <w:unhideWhenUsed/>
    <w:qFormat/>
    <w:uiPriority w:val="39"/>
    <w:pPr>
      <w:ind w:left="2940" w:leftChars="1400"/>
    </w:pPr>
    <w:rPr>
      <w:rFonts w:ascii="Calibri" w:hAnsi="Calibri" w:eastAsia="宋体" w:cs="Times New Roman"/>
      <w:szCs w:val="22"/>
    </w:rPr>
  </w:style>
  <w:style w:type="paragraph" w:styleId="22">
    <w:name w:val="Date"/>
    <w:basedOn w:val="1"/>
    <w:next w:val="1"/>
    <w:link w:val="55"/>
    <w:unhideWhenUsed/>
    <w:qFormat/>
    <w:uiPriority w:val="99"/>
    <w:pPr>
      <w:spacing w:line="360" w:lineRule="auto"/>
      <w:ind w:left="100" w:leftChars="2500" w:firstLine="200" w:firstLineChars="200"/>
    </w:pPr>
    <w:rPr>
      <w:rFonts w:ascii="Times New Roman" w:hAnsi="Times New Roman" w:eastAsia="宋体" w:cs="Times New Roman"/>
      <w:sz w:val="24"/>
      <w:szCs w:val="22"/>
    </w:rPr>
  </w:style>
  <w:style w:type="paragraph" w:styleId="23">
    <w:name w:val="Balloon Text"/>
    <w:basedOn w:val="1"/>
    <w:link w:val="56"/>
    <w:qFormat/>
    <w:uiPriority w:val="0"/>
    <w:rPr>
      <w:sz w:val="18"/>
      <w:szCs w:val="18"/>
    </w:rPr>
  </w:style>
  <w:style w:type="paragraph" w:styleId="24">
    <w:name w:val="footer"/>
    <w:basedOn w:val="1"/>
    <w:link w:val="58"/>
    <w:qFormat/>
    <w:uiPriority w:val="0"/>
    <w:pPr>
      <w:tabs>
        <w:tab w:val="center" w:pos="4153"/>
        <w:tab w:val="right" w:pos="8306"/>
      </w:tabs>
      <w:snapToGrid w:val="0"/>
      <w:jc w:val="left"/>
    </w:pPr>
    <w:rPr>
      <w:sz w:val="18"/>
      <w:szCs w:val="18"/>
    </w:rPr>
  </w:style>
  <w:style w:type="paragraph" w:styleId="25">
    <w:name w:val="header"/>
    <w:basedOn w:val="1"/>
    <w:link w:val="57"/>
    <w:qFormat/>
    <w:uiPriority w:val="0"/>
    <w:pPr>
      <w:pBdr>
        <w:bottom w:val="single" w:color="auto" w:sz="6" w:space="1"/>
      </w:pBdr>
      <w:tabs>
        <w:tab w:val="center" w:pos="4153"/>
        <w:tab w:val="right" w:pos="8306"/>
      </w:tabs>
      <w:snapToGrid w:val="0"/>
      <w:jc w:val="center"/>
    </w:pPr>
    <w:rPr>
      <w:sz w:val="18"/>
      <w:szCs w:val="18"/>
    </w:rPr>
  </w:style>
  <w:style w:type="paragraph" w:styleId="26">
    <w:name w:val="toc 1"/>
    <w:basedOn w:val="1"/>
    <w:next w:val="1"/>
    <w:unhideWhenUsed/>
    <w:qFormat/>
    <w:uiPriority w:val="39"/>
    <w:pPr>
      <w:tabs>
        <w:tab w:val="left" w:pos="810"/>
        <w:tab w:val="right" w:leader="dot" w:pos="8296"/>
      </w:tabs>
      <w:spacing w:line="360" w:lineRule="auto"/>
      <w:jc w:val="left"/>
    </w:pPr>
    <w:rPr>
      <w:rFonts w:ascii="Times New Roman" w:hAnsi="Times New Roman" w:eastAsia="宋体" w:cs="Times New Roman"/>
      <w:sz w:val="24"/>
      <w:szCs w:val="22"/>
    </w:rPr>
  </w:style>
  <w:style w:type="paragraph" w:styleId="27">
    <w:name w:val="toc 4"/>
    <w:basedOn w:val="1"/>
    <w:next w:val="1"/>
    <w:unhideWhenUsed/>
    <w:qFormat/>
    <w:uiPriority w:val="39"/>
    <w:pPr>
      <w:ind w:left="1260" w:leftChars="600"/>
    </w:pPr>
    <w:rPr>
      <w:rFonts w:ascii="Calibri" w:hAnsi="Calibri" w:eastAsia="宋体" w:cs="Times New Roman"/>
      <w:szCs w:val="22"/>
    </w:rPr>
  </w:style>
  <w:style w:type="paragraph" w:styleId="28">
    <w:name w:val="toc 6"/>
    <w:basedOn w:val="1"/>
    <w:next w:val="1"/>
    <w:unhideWhenUsed/>
    <w:qFormat/>
    <w:uiPriority w:val="39"/>
    <w:pPr>
      <w:ind w:left="2100" w:leftChars="1000"/>
    </w:pPr>
    <w:rPr>
      <w:rFonts w:ascii="Calibri" w:hAnsi="Calibri" w:eastAsia="宋体" w:cs="Times New Roman"/>
      <w:szCs w:val="22"/>
    </w:rPr>
  </w:style>
  <w:style w:type="paragraph" w:styleId="29">
    <w:name w:val="toc 2"/>
    <w:basedOn w:val="1"/>
    <w:next w:val="1"/>
    <w:unhideWhenUsed/>
    <w:qFormat/>
    <w:uiPriority w:val="39"/>
    <w:pPr>
      <w:tabs>
        <w:tab w:val="right" w:leader="dot" w:pos="8296"/>
      </w:tabs>
      <w:spacing w:line="360" w:lineRule="auto"/>
      <w:ind w:firstLine="564" w:firstLineChars="235"/>
    </w:pPr>
    <w:rPr>
      <w:rFonts w:ascii="Times New Roman" w:hAnsi="Times New Roman" w:eastAsia="宋体" w:cs="Times New Roman"/>
      <w:sz w:val="24"/>
      <w:szCs w:val="22"/>
    </w:rPr>
  </w:style>
  <w:style w:type="paragraph" w:styleId="30">
    <w:name w:val="toc 9"/>
    <w:basedOn w:val="1"/>
    <w:next w:val="1"/>
    <w:unhideWhenUsed/>
    <w:qFormat/>
    <w:uiPriority w:val="39"/>
    <w:pPr>
      <w:ind w:left="3360" w:leftChars="1600"/>
    </w:pPr>
    <w:rPr>
      <w:rFonts w:ascii="Calibri" w:hAnsi="Calibri" w:eastAsia="宋体" w:cs="Times New Roman"/>
      <w:szCs w:val="22"/>
    </w:rPr>
  </w:style>
  <w:style w:type="paragraph" w:styleId="31">
    <w:name w:val="Normal (Web)"/>
    <w:basedOn w:val="1"/>
    <w:qFormat/>
    <w:uiPriority w:val="0"/>
    <w:pPr>
      <w:spacing w:beforeAutospacing="1" w:afterAutospacing="1"/>
      <w:jc w:val="left"/>
    </w:pPr>
    <w:rPr>
      <w:rFonts w:cs="Times New Roman"/>
      <w:kern w:val="0"/>
      <w:sz w:val="24"/>
    </w:rPr>
  </w:style>
  <w:style w:type="paragraph" w:styleId="32">
    <w:name w:val="annotation subject"/>
    <w:basedOn w:val="16"/>
    <w:next w:val="16"/>
    <w:link w:val="51"/>
    <w:unhideWhenUsed/>
    <w:qFormat/>
    <w:uiPriority w:val="99"/>
    <w:pPr>
      <w:spacing w:line="360" w:lineRule="auto"/>
      <w:ind w:firstLine="200" w:firstLineChars="200"/>
    </w:pPr>
    <w:rPr>
      <w:rFonts w:ascii="Times New Roman" w:hAnsi="Times New Roman" w:eastAsia="宋体" w:cs="Times New Roman"/>
      <w:b/>
      <w:bCs/>
      <w:sz w:val="24"/>
      <w:szCs w:val="22"/>
      <w:lang w:val="zh-CN"/>
    </w:rPr>
  </w:style>
  <w:style w:type="table" w:styleId="34">
    <w:name w:val="Table Grid"/>
    <w:basedOn w:val="33"/>
    <w:qFormat/>
    <w:uiPriority w:val="0"/>
    <w:rPr>
      <w:rFonts w:ascii="Calibri" w:hAnsi="Calibri" w:cs="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qFormat/>
    <w:uiPriority w:val="0"/>
    <w:rPr>
      <w:b/>
      <w:bCs/>
    </w:rPr>
  </w:style>
  <w:style w:type="character" w:styleId="37">
    <w:name w:val="page number"/>
    <w:qFormat/>
    <w:uiPriority w:val="0"/>
  </w:style>
  <w:style w:type="character" w:styleId="38">
    <w:name w:val="Hyperlink"/>
    <w:basedOn w:val="35"/>
    <w:qFormat/>
    <w:uiPriority w:val="99"/>
    <w:rPr>
      <w:color w:val="0000FF"/>
      <w:u w:val="single"/>
    </w:rPr>
  </w:style>
  <w:style w:type="character" w:styleId="39">
    <w:name w:val="annotation reference"/>
    <w:unhideWhenUsed/>
    <w:qFormat/>
    <w:uiPriority w:val="99"/>
    <w:rPr>
      <w:sz w:val="21"/>
      <w:szCs w:val="21"/>
    </w:rPr>
  </w:style>
  <w:style w:type="paragraph" w:customStyle="1" w:styleId="40">
    <w:name w:val="Default"/>
    <w:qFormat/>
    <w:uiPriority w:val="99"/>
    <w:pPr>
      <w:widowControl w:val="0"/>
      <w:autoSpaceDE w:val="0"/>
      <w:autoSpaceDN w:val="0"/>
      <w:adjustRightInd w:val="0"/>
    </w:pPr>
    <w:rPr>
      <w:rFonts w:hint="eastAsia" w:ascii="方正小标宋_GBK" w:hAnsi="方正小标宋_GBK" w:eastAsia="方正小标宋_GBK" w:cs="Times New Roman"/>
      <w:color w:val="000000"/>
      <w:sz w:val="24"/>
      <w:lang w:val="en-US" w:eastAsia="zh-CN" w:bidi="ar-SA"/>
    </w:rPr>
  </w:style>
  <w:style w:type="paragraph" w:customStyle="1" w:styleId="41">
    <w:name w:val="TOC 标题1"/>
    <w:basedOn w:val="5"/>
    <w:next w:val="1"/>
    <w:unhideWhenUsed/>
    <w:qFormat/>
    <w:uiPriority w:val="39"/>
    <w:pPr>
      <w:widowControl/>
      <w:spacing w:before="480" w:after="0" w:line="276" w:lineRule="auto"/>
      <w:jc w:val="left"/>
      <w:outlineLvl w:val="9"/>
    </w:pPr>
    <w:rPr>
      <w:rFonts w:ascii="Cambria" w:hAnsi="Cambria" w:eastAsia="宋体"/>
      <w:color w:val="365F91"/>
      <w:kern w:val="0"/>
      <w:szCs w:val="28"/>
    </w:rPr>
  </w:style>
  <w:style w:type="paragraph" w:customStyle="1" w:styleId="42">
    <w:name w:val="一级无"/>
    <w:basedOn w:val="43"/>
    <w:qFormat/>
    <w:uiPriority w:val="0"/>
    <w:pPr>
      <w:spacing w:before="0" w:beforeLines="0" w:after="0" w:afterLines="0"/>
    </w:pPr>
    <w:rPr>
      <w:rFonts w:ascii="宋体" w:eastAsia="宋体"/>
    </w:rPr>
  </w:style>
  <w:style w:type="paragraph" w:customStyle="1" w:styleId="43">
    <w:name w:val="一级条标题"/>
    <w:next w:val="1"/>
    <w:qFormat/>
    <w:uiPriority w:val="0"/>
    <w:pPr>
      <w:numPr>
        <w:ilvl w:val="1"/>
        <w:numId w:val="1"/>
      </w:numPr>
      <w:spacing w:before="156" w:beforeLines="50" w:after="156" w:afterLines="50"/>
      <w:ind w:left="851"/>
      <w:outlineLvl w:val="2"/>
    </w:pPr>
    <w:rPr>
      <w:rFonts w:ascii="黑体" w:hAnsi="Times New Roman" w:eastAsia="黑体" w:cs="Times New Roman"/>
      <w:sz w:val="21"/>
      <w:szCs w:val="21"/>
      <w:lang w:val="en-US" w:eastAsia="zh-CN" w:bidi="ar-SA"/>
    </w:rPr>
  </w:style>
  <w:style w:type="character" w:customStyle="1" w:styleId="44">
    <w:name w:val="标题 4 字符"/>
    <w:basedOn w:val="35"/>
    <w:link w:val="8"/>
    <w:qFormat/>
    <w:uiPriority w:val="9"/>
    <w:rPr>
      <w:b/>
      <w:bCs/>
      <w:kern w:val="2"/>
      <w:sz w:val="24"/>
      <w:szCs w:val="28"/>
      <w:lang w:val="zh-CN"/>
    </w:rPr>
  </w:style>
  <w:style w:type="character" w:customStyle="1" w:styleId="45">
    <w:name w:val="标题 5 字符"/>
    <w:basedOn w:val="35"/>
    <w:link w:val="9"/>
    <w:qFormat/>
    <w:uiPriority w:val="9"/>
    <w:rPr>
      <w:b/>
      <w:bCs/>
      <w:kern w:val="2"/>
      <w:sz w:val="28"/>
      <w:szCs w:val="28"/>
      <w:lang w:val="zh-CN"/>
    </w:rPr>
  </w:style>
  <w:style w:type="character" w:customStyle="1" w:styleId="46">
    <w:name w:val="标题 6 字符"/>
    <w:basedOn w:val="35"/>
    <w:link w:val="10"/>
    <w:qFormat/>
    <w:uiPriority w:val="9"/>
    <w:rPr>
      <w:b/>
      <w:bCs/>
      <w:kern w:val="2"/>
      <w:sz w:val="24"/>
      <w:szCs w:val="24"/>
      <w:lang w:val="zh-CN"/>
    </w:rPr>
  </w:style>
  <w:style w:type="character" w:customStyle="1" w:styleId="47">
    <w:name w:val="标题 7 字符"/>
    <w:basedOn w:val="35"/>
    <w:link w:val="11"/>
    <w:qFormat/>
    <w:uiPriority w:val="9"/>
    <w:rPr>
      <w:b/>
      <w:bCs/>
      <w:kern w:val="2"/>
      <w:sz w:val="24"/>
      <w:szCs w:val="24"/>
      <w:lang w:val="zh-CN"/>
    </w:rPr>
  </w:style>
  <w:style w:type="character" w:customStyle="1" w:styleId="48">
    <w:name w:val="标题 8 字符"/>
    <w:basedOn w:val="35"/>
    <w:link w:val="12"/>
    <w:qFormat/>
    <w:uiPriority w:val="9"/>
    <w:rPr>
      <w:rFonts w:ascii="Cambria" w:hAnsi="Cambria"/>
      <w:kern w:val="2"/>
      <w:sz w:val="24"/>
      <w:szCs w:val="24"/>
      <w:lang w:val="zh-CN"/>
    </w:rPr>
  </w:style>
  <w:style w:type="character" w:customStyle="1" w:styleId="49">
    <w:name w:val="标题 9 字符"/>
    <w:basedOn w:val="35"/>
    <w:link w:val="13"/>
    <w:qFormat/>
    <w:uiPriority w:val="9"/>
    <w:rPr>
      <w:rFonts w:ascii="Cambria" w:hAnsi="Cambria"/>
      <w:kern w:val="2"/>
      <w:sz w:val="24"/>
      <w:szCs w:val="21"/>
      <w:lang w:val="zh-CN"/>
    </w:rPr>
  </w:style>
  <w:style w:type="character" w:customStyle="1" w:styleId="50">
    <w:name w:val="批注文字 字符"/>
    <w:basedOn w:val="35"/>
    <w:link w:val="16"/>
    <w:qFormat/>
    <w:uiPriority w:val="99"/>
    <w:rPr>
      <w:rFonts w:asciiTheme="minorHAnsi" w:hAnsiTheme="minorHAnsi" w:eastAsiaTheme="minorEastAsia" w:cstheme="minorBidi"/>
      <w:kern w:val="2"/>
      <w:sz w:val="21"/>
      <w:szCs w:val="24"/>
    </w:rPr>
  </w:style>
  <w:style w:type="character" w:customStyle="1" w:styleId="51">
    <w:name w:val="批注主题 字符"/>
    <w:basedOn w:val="50"/>
    <w:link w:val="32"/>
    <w:qFormat/>
    <w:uiPriority w:val="99"/>
    <w:rPr>
      <w:rFonts w:asciiTheme="minorHAnsi" w:hAnsiTheme="minorHAnsi" w:eastAsiaTheme="minorEastAsia" w:cstheme="minorBidi"/>
      <w:b/>
      <w:bCs/>
      <w:kern w:val="2"/>
      <w:sz w:val="24"/>
      <w:szCs w:val="22"/>
      <w:lang w:val="zh-CN"/>
    </w:rPr>
  </w:style>
  <w:style w:type="character" w:customStyle="1" w:styleId="52">
    <w:name w:val="文档结构图 字符"/>
    <w:basedOn w:val="35"/>
    <w:link w:val="15"/>
    <w:qFormat/>
    <w:uiPriority w:val="99"/>
    <w:rPr>
      <w:rFonts w:ascii="宋体" w:hAnsi="Calibri"/>
      <w:sz w:val="18"/>
      <w:szCs w:val="18"/>
      <w:lang w:val="zh-CN"/>
    </w:rPr>
  </w:style>
  <w:style w:type="character" w:customStyle="1" w:styleId="53">
    <w:name w:val="正文文本 字符"/>
    <w:basedOn w:val="35"/>
    <w:link w:val="17"/>
    <w:qFormat/>
    <w:uiPriority w:val="0"/>
    <w:rPr>
      <w:rFonts w:eastAsia="仿宋_GB2312"/>
      <w:sz w:val="28"/>
      <w:szCs w:val="24"/>
      <w:lang w:val="zh-CN"/>
    </w:rPr>
  </w:style>
  <w:style w:type="character" w:customStyle="1" w:styleId="54">
    <w:name w:val="纯文本 字符"/>
    <w:basedOn w:val="35"/>
    <w:link w:val="20"/>
    <w:qFormat/>
    <w:uiPriority w:val="0"/>
    <w:rPr>
      <w:rFonts w:ascii="宋体" w:hAnsi="Courier New"/>
      <w:sz w:val="21"/>
    </w:rPr>
  </w:style>
  <w:style w:type="character" w:customStyle="1" w:styleId="55">
    <w:name w:val="日期 字符"/>
    <w:basedOn w:val="35"/>
    <w:link w:val="22"/>
    <w:qFormat/>
    <w:uiPriority w:val="99"/>
    <w:rPr>
      <w:kern w:val="2"/>
      <w:sz w:val="24"/>
      <w:szCs w:val="22"/>
    </w:rPr>
  </w:style>
  <w:style w:type="character" w:customStyle="1" w:styleId="56">
    <w:name w:val="批注框文本 字符"/>
    <w:basedOn w:val="35"/>
    <w:link w:val="23"/>
    <w:qFormat/>
    <w:uiPriority w:val="0"/>
    <w:rPr>
      <w:rFonts w:asciiTheme="minorHAnsi" w:hAnsiTheme="minorHAnsi" w:eastAsiaTheme="minorEastAsia" w:cstheme="minorBidi"/>
      <w:kern w:val="2"/>
      <w:sz w:val="18"/>
      <w:szCs w:val="18"/>
    </w:rPr>
  </w:style>
  <w:style w:type="character" w:customStyle="1" w:styleId="57">
    <w:name w:val="页眉 字符"/>
    <w:basedOn w:val="35"/>
    <w:link w:val="25"/>
    <w:qFormat/>
    <w:uiPriority w:val="0"/>
    <w:rPr>
      <w:rFonts w:asciiTheme="minorHAnsi" w:hAnsiTheme="minorHAnsi" w:eastAsiaTheme="minorEastAsia" w:cstheme="minorBidi"/>
      <w:kern w:val="2"/>
      <w:sz w:val="18"/>
      <w:szCs w:val="18"/>
    </w:rPr>
  </w:style>
  <w:style w:type="character" w:customStyle="1" w:styleId="58">
    <w:name w:val="页脚 字符"/>
    <w:basedOn w:val="35"/>
    <w:link w:val="24"/>
    <w:qFormat/>
    <w:uiPriority w:val="0"/>
    <w:rPr>
      <w:rFonts w:asciiTheme="minorHAnsi" w:hAnsiTheme="minorHAnsi" w:eastAsiaTheme="minorEastAsia" w:cstheme="minorBidi"/>
      <w:kern w:val="2"/>
      <w:sz w:val="18"/>
      <w:szCs w:val="18"/>
    </w:rPr>
  </w:style>
  <w:style w:type="paragraph" w:customStyle="1" w:styleId="59">
    <w:name w:val="列出段落1"/>
    <w:basedOn w:val="1"/>
    <w:unhideWhenUsed/>
    <w:qFormat/>
    <w:uiPriority w:val="34"/>
    <w:pPr>
      <w:ind w:firstLine="420" w:firstLineChars="200"/>
    </w:pPr>
  </w:style>
  <w:style w:type="paragraph" w:customStyle="1" w:styleId="60">
    <w:name w:val="Char"/>
    <w:basedOn w:val="1"/>
    <w:qFormat/>
    <w:uiPriority w:val="0"/>
    <w:pPr>
      <w:spacing w:line="500" w:lineRule="exact"/>
      <w:ind w:firstLine="200" w:firstLineChars="200"/>
    </w:pPr>
    <w:rPr>
      <w:rFonts w:ascii="宋体" w:hAnsi="宋体" w:eastAsia="宋体" w:cs="Times New Roman"/>
      <w:sz w:val="28"/>
      <w:szCs w:val="28"/>
    </w:rPr>
  </w:style>
  <w:style w:type="character" w:customStyle="1" w:styleId="61">
    <w:name w:val="内容 Char"/>
    <w:link w:val="62"/>
    <w:qFormat/>
    <w:uiPriority w:val="0"/>
    <w:rPr>
      <w:rFonts w:ascii="仿宋_GB2312" w:eastAsia="仿宋_GB2312"/>
      <w:sz w:val="32"/>
      <w:szCs w:val="32"/>
    </w:rPr>
  </w:style>
  <w:style w:type="paragraph" w:customStyle="1" w:styleId="62">
    <w:name w:val="内容"/>
    <w:basedOn w:val="1"/>
    <w:link w:val="61"/>
    <w:qFormat/>
    <w:uiPriority w:val="0"/>
    <w:pPr>
      <w:spacing w:line="579" w:lineRule="exact"/>
      <w:ind w:firstLine="640" w:firstLineChars="200"/>
    </w:pPr>
    <w:rPr>
      <w:rFonts w:ascii="仿宋_GB2312" w:hAnsi="Times New Roman" w:eastAsia="仿宋_GB2312" w:cs="Times New Roman"/>
      <w:kern w:val="0"/>
      <w:sz w:val="32"/>
      <w:szCs w:val="32"/>
    </w:rPr>
  </w:style>
  <w:style w:type="character" w:customStyle="1" w:styleId="63">
    <w:name w:val="标题 1 字符"/>
    <w:basedOn w:val="35"/>
    <w:link w:val="5"/>
    <w:qFormat/>
    <w:uiPriority w:val="9"/>
    <w:rPr>
      <w:rFonts w:ascii="Calibri" w:hAnsi="Calibri" w:eastAsia="仿宋"/>
      <w:b/>
      <w:bCs/>
      <w:kern w:val="44"/>
      <w:sz w:val="28"/>
      <w:szCs w:val="44"/>
      <w:lang w:val="zh-CN"/>
    </w:rPr>
  </w:style>
  <w:style w:type="character" w:customStyle="1" w:styleId="64">
    <w:name w:val="标题 2 字符"/>
    <w:link w:val="6"/>
    <w:qFormat/>
    <w:uiPriority w:val="0"/>
    <w:rPr>
      <w:rFonts w:ascii="宋体" w:hAnsi="宋体"/>
      <w:b/>
      <w:sz w:val="36"/>
      <w:szCs w:val="36"/>
    </w:rPr>
  </w:style>
  <w:style w:type="paragraph" w:customStyle="1" w:styleId="65">
    <w:name w:val="列出段落2"/>
    <w:basedOn w:val="1"/>
    <w:qFormat/>
    <w:uiPriority w:val="99"/>
    <w:pPr>
      <w:spacing w:line="360" w:lineRule="auto"/>
      <w:ind w:firstLine="420" w:firstLineChars="200"/>
    </w:pPr>
    <w:rPr>
      <w:rFonts w:ascii="Times New Roman" w:hAnsi="Times New Roman" w:eastAsia="宋体" w:cs="Times New Roman"/>
      <w:sz w:val="24"/>
      <w:szCs w:val="22"/>
    </w:rPr>
  </w:style>
  <w:style w:type="character" w:customStyle="1" w:styleId="66">
    <w:name w:val="edit_font_color"/>
    <w:basedOn w:val="35"/>
    <w:qFormat/>
    <w:uiPriority w:val="0"/>
  </w:style>
  <w:style w:type="character" w:customStyle="1" w:styleId="67">
    <w:name w:val="index"/>
    <w:basedOn w:val="35"/>
    <w:qFormat/>
    <w:uiPriority w:val="0"/>
  </w:style>
  <w:style w:type="character" w:customStyle="1" w:styleId="68">
    <w:name w:val="apple-converted-space"/>
    <w:basedOn w:val="35"/>
    <w:qFormat/>
    <w:uiPriority w:val="0"/>
  </w:style>
  <w:style w:type="character" w:customStyle="1" w:styleId="69">
    <w:name w:val="text"/>
    <w:basedOn w:val="35"/>
    <w:qFormat/>
    <w:uiPriority w:val="0"/>
  </w:style>
  <w:style w:type="paragraph" w:customStyle="1" w:styleId="70">
    <w:name w:val="p0"/>
    <w:basedOn w:val="1"/>
    <w:qFormat/>
    <w:uiPriority w:val="0"/>
    <w:pPr>
      <w:widowControl/>
      <w:spacing w:before="100" w:beforeAutospacing="1" w:after="100" w:afterAutospacing="1"/>
      <w:jc w:val="left"/>
    </w:pPr>
    <w:rPr>
      <w:rFonts w:ascii="宋体" w:hAnsi="宋体" w:eastAsia="宋体" w:cs="宋体"/>
      <w:kern w:val="0"/>
      <w:sz w:val="24"/>
    </w:rPr>
  </w:style>
  <w:style w:type="character" w:customStyle="1" w:styleId="71">
    <w:name w:val="标题 3 字符"/>
    <w:link w:val="7"/>
    <w:qFormat/>
    <w:uiPriority w:val="9"/>
    <w:rPr>
      <w:rFonts w:ascii="宋体" w:hAnsi="宋体"/>
      <w:b/>
      <w:sz w:val="27"/>
      <w:szCs w:val="27"/>
    </w:rPr>
  </w:style>
  <w:style w:type="character" w:customStyle="1" w:styleId="72">
    <w:name w:val="标题1"/>
    <w:qFormat/>
    <w:uiPriority w:val="0"/>
  </w:style>
  <w:style w:type="paragraph" w:customStyle="1" w:styleId="73">
    <w:name w:val="reader-word-layer"/>
    <w:basedOn w:val="1"/>
    <w:qFormat/>
    <w:uiPriority w:val="0"/>
    <w:pPr>
      <w:widowControl/>
      <w:spacing w:before="100" w:beforeAutospacing="1" w:after="100" w:afterAutospacing="1"/>
      <w:jc w:val="left"/>
    </w:pPr>
    <w:rPr>
      <w:rFonts w:ascii="宋体" w:hAnsi="宋体" w:eastAsia="宋体" w:cs="宋体"/>
      <w:kern w:val="0"/>
      <w:sz w:val="24"/>
    </w:rPr>
  </w:style>
  <w:style w:type="paragraph" w:customStyle="1" w:styleId="74">
    <w:name w:val="表格"/>
    <w:basedOn w:val="1"/>
    <w:qFormat/>
    <w:uiPriority w:val="0"/>
    <w:pPr>
      <w:adjustRightInd w:val="0"/>
    </w:pPr>
    <w:rPr>
      <w:rFonts w:ascii="Times New Roman" w:hAnsi="Times New Roman" w:eastAsia="宋体" w:cs="宋体"/>
      <w:szCs w:val="22"/>
    </w:rPr>
  </w:style>
  <w:style w:type="character" w:customStyle="1" w:styleId="75">
    <w:name w:val="标题 6 Char1"/>
    <w:qFormat/>
    <w:uiPriority w:val="9"/>
    <w:rPr>
      <w:b/>
      <w:bCs/>
      <w:kern w:val="2"/>
      <w:sz w:val="24"/>
      <w:szCs w:val="24"/>
    </w:rPr>
  </w:style>
  <w:style w:type="character" w:customStyle="1" w:styleId="76">
    <w:name w:val="款文 Char"/>
    <w:link w:val="77"/>
    <w:qFormat/>
    <w:uiPriority w:val="0"/>
    <w:rPr>
      <w:szCs w:val="18"/>
    </w:rPr>
  </w:style>
  <w:style w:type="paragraph" w:customStyle="1" w:styleId="77">
    <w:name w:val="款文"/>
    <w:basedOn w:val="1"/>
    <w:link w:val="76"/>
    <w:qFormat/>
    <w:uiPriority w:val="0"/>
    <w:pPr>
      <w:spacing w:line="360" w:lineRule="auto"/>
      <w:ind w:firstLine="420" w:firstLineChars="200"/>
    </w:pPr>
    <w:rPr>
      <w:rFonts w:ascii="Times New Roman" w:hAnsi="Times New Roman" w:eastAsia="宋体" w:cs="Times New Roman"/>
      <w:kern w:val="0"/>
      <w:sz w:val="20"/>
      <w:szCs w:val="18"/>
    </w:rPr>
  </w:style>
  <w:style w:type="paragraph" w:customStyle="1" w:styleId="78">
    <w:name w:val="章标题"/>
    <w:next w:val="1"/>
    <w:qFormat/>
    <w:uiPriority w:val="0"/>
    <w:pPr>
      <w:spacing w:before="312" w:beforeLines="100" w:after="312" w:afterLines="100"/>
      <w:jc w:val="both"/>
      <w:outlineLvl w:val="1"/>
    </w:pPr>
    <w:rPr>
      <w:rFonts w:ascii="黑体" w:hAnsi="Times New Roman" w:eastAsia="黑体" w:cs="Times New Roman"/>
      <w:sz w:val="21"/>
      <w:lang w:val="en-US" w:eastAsia="zh-CN" w:bidi="ar-SA"/>
    </w:rPr>
  </w:style>
  <w:style w:type="paragraph" w:customStyle="1" w:styleId="79">
    <w:name w:val="二级条标题"/>
    <w:basedOn w:val="43"/>
    <w:next w:val="1"/>
    <w:qFormat/>
    <w:uiPriority w:val="0"/>
    <w:pPr>
      <w:numPr>
        <w:ilvl w:val="0"/>
        <w:numId w:val="0"/>
      </w:numPr>
      <w:spacing w:before="50" w:after="50"/>
      <w:outlineLvl w:val="3"/>
    </w:pPr>
  </w:style>
  <w:style w:type="paragraph" w:customStyle="1" w:styleId="80">
    <w:name w:val="三级条标题"/>
    <w:basedOn w:val="79"/>
    <w:next w:val="1"/>
    <w:qFormat/>
    <w:uiPriority w:val="0"/>
    <w:pPr>
      <w:outlineLvl w:val="4"/>
    </w:pPr>
  </w:style>
  <w:style w:type="paragraph" w:customStyle="1" w:styleId="81">
    <w:name w:val="四级条标题"/>
    <w:basedOn w:val="80"/>
    <w:next w:val="1"/>
    <w:qFormat/>
    <w:uiPriority w:val="0"/>
    <w:pPr>
      <w:outlineLvl w:val="5"/>
    </w:pPr>
  </w:style>
  <w:style w:type="paragraph" w:customStyle="1" w:styleId="82">
    <w:name w:val="五级条标题"/>
    <w:basedOn w:val="81"/>
    <w:next w:val="1"/>
    <w:qFormat/>
    <w:uiPriority w:val="0"/>
    <w:pPr>
      <w:outlineLvl w:val="6"/>
    </w:pPr>
  </w:style>
  <w:style w:type="paragraph" w:customStyle="1" w:styleId="83">
    <w:name w:val="前言、引言标题"/>
    <w:next w:val="1"/>
    <w:qFormat/>
    <w:uiPriority w:val="0"/>
    <w:pPr>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84">
    <w:name w:val="实施日期"/>
    <w:basedOn w:val="1"/>
    <w:qFormat/>
    <w:uiPriority w:val="0"/>
    <w:pPr>
      <w:framePr w:w="4000" w:h="473" w:hRule="exact" w:vSpace="180" w:wrap="around" w:vAnchor="margin" w:hAnchor="margin" w:xAlign="right" w:y="13511" w:anchorLock="1"/>
      <w:widowControl/>
      <w:ind w:left="105"/>
      <w:jc w:val="right"/>
    </w:pPr>
    <w:rPr>
      <w:rFonts w:ascii="Times New Roman" w:hAnsi="Times New Roman" w:eastAsia="黑体" w:cs="Times New Roman"/>
      <w:kern w:val="0"/>
      <w:sz w:val="28"/>
      <w:szCs w:val="20"/>
    </w:rPr>
  </w:style>
  <w:style w:type="paragraph" w:customStyle="1" w:styleId="85">
    <w:name w:val="图表脚注"/>
    <w:next w:val="1"/>
    <w:qFormat/>
    <w:uiPriority w:val="0"/>
    <w:pPr>
      <w:jc w:val="both"/>
    </w:pPr>
    <w:rPr>
      <w:rFonts w:ascii="宋体" w:hAnsi="Times New Roman" w:eastAsia="宋体" w:cs="Times New Roman"/>
      <w:sz w:val="18"/>
      <w:lang w:val="en-US" w:eastAsia="zh-CN" w:bidi="ar-SA"/>
    </w:rPr>
  </w:style>
  <w:style w:type="paragraph" w:customStyle="1" w:styleId="86">
    <w:name w:val="列表段落1"/>
    <w:basedOn w:val="1"/>
    <w:unhideWhenUsed/>
    <w:qFormat/>
    <w:uiPriority w:val="99"/>
    <w:pPr>
      <w:ind w:firstLine="420" w:firstLineChars="200"/>
    </w:pPr>
  </w:style>
  <w:style w:type="character" w:customStyle="1" w:styleId="87">
    <w:name w:val="font112"/>
    <w:basedOn w:val="35"/>
    <w:qFormat/>
    <w:uiPriority w:val="0"/>
    <w:rPr>
      <w:rFonts w:hint="eastAsia" w:ascii="宋体" w:hAnsi="宋体" w:eastAsia="宋体" w:cs="宋体"/>
      <w:b/>
      <w:color w:val="000000"/>
      <w:sz w:val="18"/>
      <w:szCs w:val="18"/>
      <w:u w:val="none"/>
    </w:rPr>
  </w:style>
  <w:style w:type="paragraph" w:customStyle="1" w:styleId="88">
    <w:name w:val="通知文本"/>
    <w:basedOn w:val="1"/>
    <w:link w:val="89"/>
    <w:qFormat/>
    <w:uiPriority w:val="0"/>
    <w:pPr>
      <w:spacing w:line="560" w:lineRule="exact"/>
      <w:ind w:firstLine="200" w:firstLineChars="200"/>
    </w:pPr>
    <w:rPr>
      <w:rFonts w:ascii="Times New Roman" w:hAnsi="Times New Roman" w:eastAsia="仿宋_GB2312"/>
      <w:sz w:val="32"/>
      <w:szCs w:val="32"/>
    </w:rPr>
  </w:style>
  <w:style w:type="character" w:customStyle="1" w:styleId="89">
    <w:name w:val="通知文本 字符"/>
    <w:basedOn w:val="35"/>
    <w:link w:val="88"/>
    <w:qFormat/>
    <w:uiPriority w:val="0"/>
    <w:rPr>
      <w:rFonts w:eastAsia="仿宋_GB2312" w:cstheme="minorBidi"/>
      <w:kern w:val="2"/>
      <w:sz w:val="32"/>
      <w:szCs w:val="32"/>
    </w:rPr>
  </w:style>
  <w:style w:type="character" w:customStyle="1" w:styleId="90">
    <w:name w:val="Unresolved Mention"/>
    <w:basedOn w:val="35"/>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26</Pages>
  <Words>3704</Words>
  <Characters>21117</Characters>
  <Lines>175</Lines>
  <Paragraphs>49</Paragraphs>
  <TotalTime>106</TotalTime>
  <ScaleCrop>false</ScaleCrop>
  <LinksUpToDate>false</LinksUpToDate>
  <CharactersWithSpaces>24772</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2019-12-09T08:59:00Z</dcterms:created>
  <dc:creator>长青之松</dc:creator>
  <cp:lastModifiedBy>Administrator</cp:lastModifiedBy>
  <cp:lastPrinted>2021-01-25T06:51:00Z</cp:lastPrinted>
  <dcterms:modified xsi:type="dcterms:W3CDTF">2021-03-18T08:58:50Z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AD277FA443BB46389BF8E3010C0D16E0</vt:lpwstr>
  </property>
</Properties>
</file>