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93B3D" w:rsidRDefault="00893B3D" w:rsidP="00893B3D">
      <w:pPr>
        <w:spacing w:line="640" w:lineRule="exact"/>
        <w:jc w:val="center"/>
        <w:rPr>
          <w:rFonts w:ascii="方正小标宋简体" w:eastAsia="方正小标宋简体" w:hAnsi="黑体" w:cs="黑体"/>
          <w:sz w:val="44"/>
          <w:szCs w:val="44"/>
        </w:rPr>
      </w:pPr>
    </w:p>
    <w:p w:rsidR="00893B3D" w:rsidRDefault="00893B3D" w:rsidP="00893B3D">
      <w:pPr>
        <w:spacing w:line="640" w:lineRule="exact"/>
        <w:jc w:val="center"/>
        <w:rPr>
          <w:rFonts w:ascii="方正小标宋简体" w:eastAsia="方正小标宋简体" w:hAnsi="黑体" w:cs="黑体"/>
          <w:sz w:val="44"/>
          <w:szCs w:val="44"/>
        </w:rPr>
      </w:pPr>
    </w:p>
    <w:p w:rsidR="00893B3D" w:rsidRDefault="00893B3D" w:rsidP="00893B3D">
      <w:pPr>
        <w:spacing w:line="640" w:lineRule="exact"/>
        <w:jc w:val="center"/>
        <w:rPr>
          <w:rFonts w:ascii="方正小标宋简体" w:eastAsia="方正小标宋简体" w:hAnsi="黑体" w:cs="黑体"/>
          <w:sz w:val="44"/>
          <w:szCs w:val="44"/>
        </w:rPr>
      </w:pPr>
    </w:p>
    <w:p w:rsidR="00893B3D" w:rsidRDefault="00893B3D" w:rsidP="00893B3D">
      <w:pPr>
        <w:spacing w:line="240" w:lineRule="exact"/>
        <w:jc w:val="center"/>
        <w:rPr>
          <w:rFonts w:ascii="方正小标宋简体" w:eastAsia="方正小标宋简体" w:hAnsi="黑体" w:cs="黑体"/>
          <w:sz w:val="44"/>
          <w:szCs w:val="44"/>
        </w:rPr>
      </w:pPr>
    </w:p>
    <w:p w:rsidR="00893B3D" w:rsidRDefault="00893B3D" w:rsidP="00893B3D">
      <w:pPr>
        <w:spacing w:line="560" w:lineRule="exact"/>
        <w:jc w:val="center"/>
        <w:rPr>
          <w:rFonts w:ascii="方正小标宋简体" w:eastAsia="方正小标宋简体" w:hAnsi="黑体" w:cs="黑体"/>
          <w:sz w:val="44"/>
          <w:szCs w:val="44"/>
        </w:rPr>
      </w:pPr>
    </w:p>
    <w:p w:rsidR="00893B3D" w:rsidRDefault="00893B3D" w:rsidP="00893B3D">
      <w:pPr>
        <w:spacing w:line="560" w:lineRule="exact"/>
        <w:rPr>
          <w:rFonts w:ascii="方正小标宋简体" w:eastAsia="方正小标宋简体" w:hAnsi="黑体" w:cs="黑体"/>
          <w:sz w:val="44"/>
          <w:szCs w:val="44"/>
        </w:rPr>
      </w:pPr>
    </w:p>
    <w:p w:rsidR="00893B3D" w:rsidRDefault="00893B3D" w:rsidP="00893B3D">
      <w:pPr>
        <w:spacing w:line="560" w:lineRule="exact"/>
        <w:rPr>
          <w:rFonts w:ascii="方正小标宋简体" w:eastAsia="方正小标宋简体" w:hAnsi="黑体" w:cs="黑体"/>
          <w:sz w:val="44"/>
          <w:szCs w:val="44"/>
        </w:rPr>
      </w:pPr>
    </w:p>
    <w:p w:rsidR="00893B3D" w:rsidRDefault="00893B3D" w:rsidP="00893B3D">
      <w:pPr>
        <w:adjustRightInd w:val="0"/>
        <w:snapToGrid w:val="0"/>
        <w:spacing w:before="100" w:beforeAutospacing="1" w:line="240" w:lineRule="atLeast"/>
        <w:rPr>
          <w:rFonts w:ascii="华文中宋" w:eastAsia="华文中宋" w:hAnsi="华文中宋"/>
          <w:bCs/>
          <w:sz w:val="44"/>
          <w:szCs w:val="44"/>
        </w:rPr>
      </w:pPr>
    </w:p>
    <w:p w:rsidR="00893B3D" w:rsidRDefault="00893B3D" w:rsidP="00893B3D">
      <w:pPr>
        <w:adjustRightInd w:val="0"/>
        <w:snapToGrid w:val="0"/>
        <w:spacing w:line="240" w:lineRule="atLeast"/>
        <w:jc w:val="center"/>
        <w:rPr>
          <w:rFonts w:ascii="仿宋" w:eastAsia="仿宋" w:hAnsi="仿宋"/>
          <w:sz w:val="32"/>
          <w:szCs w:val="32"/>
        </w:rPr>
      </w:pPr>
      <w:r>
        <w:rPr>
          <w:rFonts w:ascii="仿宋" w:eastAsia="仿宋" w:hAnsi="仿宋" w:hint="eastAsia"/>
          <w:sz w:val="32"/>
          <w:szCs w:val="32"/>
        </w:rPr>
        <w:t>淄高新应急发[</w:t>
      </w:r>
      <w:r>
        <w:rPr>
          <w:rFonts w:ascii="仿宋" w:eastAsia="仿宋" w:hAnsi="仿宋"/>
          <w:sz w:val="32"/>
          <w:szCs w:val="32"/>
        </w:rPr>
        <w:t>20</w:t>
      </w:r>
      <w:r>
        <w:rPr>
          <w:rFonts w:ascii="仿宋" w:eastAsia="仿宋" w:hAnsi="仿宋" w:hint="eastAsia"/>
          <w:sz w:val="32"/>
          <w:szCs w:val="32"/>
        </w:rPr>
        <w:t>21]10号</w:t>
      </w:r>
    </w:p>
    <w:p w:rsidR="00893B3D" w:rsidRDefault="00893B3D" w:rsidP="00893B3D">
      <w:pPr>
        <w:spacing w:line="520" w:lineRule="exact"/>
        <w:jc w:val="center"/>
        <w:rPr>
          <w:rFonts w:ascii="华文中宋" w:eastAsia="华文中宋" w:hAnsi="华文中宋"/>
          <w:bCs/>
          <w:sz w:val="44"/>
          <w:szCs w:val="44"/>
        </w:rPr>
      </w:pPr>
    </w:p>
    <w:p w:rsidR="00893B3D" w:rsidRPr="00646844" w:rsidRDefault="00893B3D" w:rsidP="00893B3D">
      <w:pPr>
        <w:pStyle w:val="3"/>
        <w:widowControl/>
        <w:shd w:val="clear" w:color="auto" w:fill="FFFFFF"/>
        <w:spacing w:beforeAutospacing="0" w:afterAutospacing="0" w:line="560" w:lineRule="exact"/>
        <w:jc w:val="center"/>
        <w:rPr>
          <w:rFonts w:ascii="方正小标宋简体" w:eastAsia="方正小标宋简体" w:hAnsi="方正小标宋简体" w:cs="方正小标宋简体" w:hint="default"/>
          <w:b w:val="0"/>
          <w:bCs/>
          <w:w w:val="97"/>
          <w:sz w:val="44"/>
          <w:szCs w:val="44"/>
        </w:rPr>
      </w:pPr>
      <w:r w:rsidRPr="00646844">
        <w:rPr>
          <w:rFonts w:ascii="方正小标宋简体" w:eastAsia="方正小标宋简体" w:hAnsi="方正小标宋简体" w:cs="方正小标宋简体"/>
          <w:b w:val="0"/>
          <w:bCs/>
          <w:w w:val="97"/>
          <w:sz w:val="44"/>
          <w:szCs w:val="44"/>
        </w:rPr>
        <w:t>关于印发《淄博高新区冶金等工贸行业安全生产隐患大排查快整治严执法专项</w:t>
      </w:r>
    </w:p>
    <w:p w:rsidR="00893B3D" w:rsidRPr="00646844" w:rsidRDefault="00893B3D" w:rsidP="00893B3D">
      <w:pPr>
        <w:spacing w:line="500" w:lineRule="exact"/>
        <w:jc w:val="center"/>
        <w:rPr>
          <w:rFonts w:ascii="方正小标宋简体" w:eastAsia="方正小标宋简体" w:hAnsi="方正小标宋简体" w:cs="方正小标宋简体"/>
          <w:sz w:val="44"/>
          <w:szCs w:val="44"/>
        </w:rPr>
      </w:pPr>
      <w:r w:rsidRPr="00646844">
        <w:rPr>
          <w:rFonts w:ascii="方正小标宋简体" w:eastAsia="方正小标宋简体" w:hAnsi="方正小标宋简体" w:cs="方正小标宋简体" w:hint="eastAsia"/>
          <w:bCs/>
          <w:w w:val="97"/>
          <w:sz w:val="44"/>
          <w:szCs w:val="44"/>
        </w:rPr>
        <w:t>行动方案》的通知</w:t>
      </w:r>
    </w:p>
    <w:p w:rsidR="00893B3D" w:rsidRDefault="00893B3D" w:rsidP="00893B3D">
      <w:pPr>
        <w:spacing w:line="580" w:lineRule="exact"/>
        <w:jc w:val="left"/>
        <w:rPr>
          <w:rFonts w:ascii="仿宋" w:eastAsia="仿宋" w:hAnsi="仿宋"/>
          <w:sz w:val="32"/>
          <w:szCs w:val="32"/>
        </w:rPr>
      </w:pPr>
    </w:p>
    <w:p w:rsidR="00893B3D" w:rsidRDefault="00893B3D" w:rsidP="00893B3D">
      <w:pPr>
        <w:widowControl/>
        <w:shd w:val="clear" w:color="auto" w:fill="FFFFFF"/>
        <w:spacing w:line="560" w:lineRule="exact"/>
        <w:jc w:val="left"/>
        <w:rPr>
          <w:rFonts w:ascii="仿宋_GB2312" w:eastAsia="仿宋_GB2312" w:hAnsi="仿宋_GB2312" w:cs="仿宋_GB2312"/>
          <w:sz w:val="32"/>
          <w:szCs w:val="32"/>
        </w:rPr>
      </w:pPr>
      <w:r>
        <w:rPr>
          <w:rFonts w:ascii="仿宋_GB2312" w:eastAsia="仿宋_GB2312" w:hAnsi="仿宋_GB2312" w:cs="仿宋_GB2312"/>
          <w:sz w:val="32"/>
          <w:szCs w:val="32"/>
        </w:rPr>
        <w:t>各</w:t>
      </w:r>
      <w:r>
        <w:rPr>
          <w:rFonts w:ascii="仿宋_GB2312" w:eastAsia="仿宋_GB2312" w:hAnsi="仿宋_GB2312" w:cs="仿宋_GB2312" w:hint="eastAsia"/>
          <w:sz w:val="32"/>
          <w:szCs w:val="32"/>
        </w:rPr>
        <w:t>有关企业：</w:t>
      </w:r>
    </w:p>
    <w:p w:rsidR="00893B3D" w:rsidRDefault="00893B3D" w:rsidP="00893B3D">
      <w:pPr>
        <w:widowControl/>
        <w:shd w:val="clear" w:color="auto" w:fill="FFFFFF"/>
        <w:spacing w:line="56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现将《淄博高新区冶金等工贸行业安全生产隐患大排查快整治严执法专项行动方案》印发给你们，请结合实际抓好贯彻落实。</w:t>
      </w:r>
    </w:p>
    <w:p w:rsidR="00893B3D" w:rsidRDefault="00893B3D" w:rsidP="00893B3D">
      <w:pPr>
        <w:pStyle w:val="2"/>
        <w:spacing w:after="0" w:line="560" w:lineRule="exact"/>
        <w:ind w:leftChars="0" w:left="0" w:firstLineChars="0" w:firstLine="0"/>
        <w:rPr>
          <w:rFonts w:ascii="仿宋_GB2312" w:eastAsia="仿宋_GB2312" w:hAnsi="仿宋_GB2312" w:cs="仿宋_GB2312"/>
          <w:sz w:val="32"/>
          <w:szCs w:val="32"/>
        </w:rPr>
      </w:pPr>
    </w:p>
    <w:p w:rsidR="00893B3D" w:rsidRDefault="00893B3D" w:rsidP="00893B3D">
      <w:pPr>
        <w:widowControl/>
        <w:shd w:val="clear" w:color="auto" w:fill="FFFFFF"/>
        <w:spacing w:line="560" w:lineRule="exact"/>
        <w:ind w:firstLineChars="200" w:firstLine="640"/>
        <w:jc w:val="left"/>
        <w:rPr>
          <w:rFonts w:ascii="仿宋_GB2312" w:eastAsia="仿宋_GB2312" w:hAnsi="仿宋_GB2312" w:cs="仿宋_GB2312"/>
          <w:sz w:val="32"/>
          <w:szCs w:val="32"/>
        </w:rPr>
      </w:pPr>
    </w:p>
    <w:p w:rsidR="00893B3D" w:rsidRDefault="00893B3D" w:rsidP="00893B3D">
      <w:pPr>
        <w:widowControl/>
        <w:shd w:val="clear" w:color="auto" w:fill="FFFFFF"/>
        <w:spacing w:line="560" w:lineRule="exact"/>
        <w:ind w:right="1280"/>
        <w:jc w:val="right"/>
        <w:rPr>
          <w:rFonts w:ascii="仿宋_GB2312" w:eastAsia="仿宋_GB2312" w:hAnsi="仿宋_GB2312" w:cs="仿宋_GB2312"/>
          <w:sz w:val="32"/>
          <w:szCs w:val="32"/>
        </w:rPr>
      </w:pPr>
      <w:r>
        <w:rPr>
          <w:rFonts w:ascii="仿宋_GB2312" w:eastAsia="仿宋_GB2312" w:hAnsi="仿宋_GB2312" w:cs="仿宋_GB2312" w:hint="eastAsia"/>
          <w:sz w:val="32"/>
          <w:szCs w:val="32"/>
        </w:rPr>
        <w:t>淄博高新技术产业开发区应急管理中心</w:t>
      </w:r>
    </w:p>
    <w:p w:rsidR="00893B3D" w:rsidRDefault="00893B3D" w:rsidP="00893B3D">
      <w:pPr>
        <w:pStyle w:val="2"/>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（淄博高新技术产业开发区安全生产监督管理局代章）</w:t>
      </w:r>
    </w:p>
    <w:p w:rsidR="00893B3D" w:rsidRDefault="00893B3D" w:rsidP="00893B3D">
      <w:pPr>
        <w:widowControl/>
        <w:spacing w:line="560" w:lineRule="exact"/>
        <w:ind w:firstLineChars="1100" w:firstLine="352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2021年1月</w:t>
      </w:r>
      <w:r>
        <w:rPr>
          <w:rFonts w:ascii="仿宋_GB2312" w:eastAsia="仿宋_GB2312" w:hAnsi="仿宋_GB2312" w:cs="仿宋_GB2312"/>
          <w:sz w:val="32"/>
          <w:szCs w:val="32"/>
        </w:rPr>
        <w:t>27</w:t>
      </w:r>
      <w:r>
        <w:rPr>
          <w:rFonts w:ascii="仿宋_GB2312" w:eastAsia="仿宋_GB2312" w:hAnsi="仿宋_GB2312" w:cs="仿宋_GB2312" w:hint="eastAsia"/>
          <w:sz w:val="32"/>
          <w:szCs w:val="32"/>
        </w:rPr>
        <w:t>日</w:t>
      </w:r>
    </w:p>
    <w:p w:rsidR="00573E28" w:rsidRDefault="00656635">
      <w:pPr>
        <w:shd w:val="clear" w:color="auto" w:fill="FFFFFF"/>
        <w:snapToGrid w:val="0"/>
        <w:spacing w:line="560" w:lineRule="exact"/>
        <w:jc w:val="center"/>
        <w:outlineLvl w:val="0"/>
        <w:rPr>
          <w:rFonts w:ascii="方正小标宋简体" w:eastAsia="方正小标宋简体" w:hAnsi="方正小标宋简体" w:cs="方正小标宋简体"/>
          <w:sz w:val="44"/>
          <w:szCs w:val="44"/>
          <w:shd w:val="clear" w:color="auto" w:fill="FFFFFF"/>
        </w:rPr>
      </w:pPr>
      <w:r>
        <w:rPr>
          <w:rFonts w:ascii="方正小标宋简体" w:eastAsia="方正小标宋简体" w:hAnsi="方正小标宋简体" w:cs="方正小标宋简体" w:hint="eastAsia"/>
          <w:kern w:val="0"/>
          <w:sz w:val="44"/>
          <w:szCs w:val="44"/>
          <w:shd w:val="clear" w:color="auto" w:fill="FFFFFF"/>
          <w:lang w:bidi="ar"/>
        </w:rPr>
        <w:lastRenderedPageBreak/>
        <w:t>淄博高新区冶金等工贸行业</w:t>
      </w:r>
      <w:r>
        <w:rPr>
          <w:rFonts w:ascii="方正小标宋简体" w:eastAsia="方正小标宋简体" w:hAnsi="方正小标宋简体" w:cs="方正小标宋简体" w:hint="eastAsia"/>
          <w:sz w:val="44"/>
          <w:szCs w:val="44"/>
          <w:shd w:val="clear" w:color="auto" w:fill="FFFFFF"/>
        </w:rPr>
        <w:t>安全生产隐患</w:t>
      </w:r>
    </w:p>
    <w:p w:rsidR="00573E28" w:rsidRDefault="00656635">
      <w:pPr>
        <w:shd w:val="clear" w:color="auto" w:fill="FFFFFF"/>
        <w:snapToGrid w:val="0"/>
        <w:spacing w:line="560" w:lineRule="exact"/>
        <w:jc w:val="center"/>
        <w:outlineLvl w:val="0"/>
        <w:rPr>
          <w:rFonts w:ascii="方正小标宋简体" w:eastAsia="方正小标宋简体" w:hAnsi="方正小标宋简体" w:cs="方正小标宋简体"/>
          <w:sz w:val="44"/>
          <w:szCs w:val="44"/>
          <w:shd w:val="clear" w:color="auto" w:fill="FFFFFF"/>
        </w:rPr>
      </w:pPr>
      <w:r>
        <w:rPr>
          <w:rFonts w:ascii="方正小标宋简体" w:eastAsia="方正小标宋简体" w:hAnsi="方正小标宋简体" w:cs="方正小标宋简体" w:hint="eastAsia"/>
          <w:sz w:val="44"/>
          <w:szCs w:val="44"/>
          <w:shd w:val="clear" w:color="auto" w:fill="FFFFFF"/>
        </w:rPr>
        <w:t>大排查快整治严执法专项行动方案</w:t>
      </w:r>
    </w:p>
    <w:p w:rsidR="00573E28" w:rsidRDefault="00573E28">
      <w:pPr>
        <w:shd w:val="clear" w:color="auto" w:fill="FFFFFF"/>
        <w:snapToGrid w:val="0"/>
        <w:spacing w:line="560" w:lineRule="exact"/>
        <w:jc w:val="center"/>
        <w:outlineLvl w:val="0"/>
        <w:rPr>
          <w:rFonts w:ascii="方正小标宋简体" w:eastAsia="方正小标宋简体" w:hAnsi="方正小标宋简体" w:cs="方正小标宋简体"/>
          <w:b/>
          <w:bCs/>
          <w:sz w:val="44"/>
          <w:szCs w:val="44"/>
          <w:shd w:val="clear" w:color="auto" w:fill="FFFFFF"/>
        </w:rPr>
      </w:pPr>
    </w:p>
    <w:p w:rsidR="00573E28" w:rsidRDefault="00656635">
      <w:pPr>
        <w:shd w:val="clear" w:color="auto" w:fill="FFFFFF"/>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按照</w:t>
      </w:r>
      <w:r w:rsidRPr="00656635">
        <w:rPr>
          <w:rFonts w:ascii="仿宋_GB2312" w:eastAsia="仿宋_GB2312" w:hint="eastAsia"/>
          <w:sz w:val="32"/>
          <w:szCs w:val="32"/>
        </w:rPr>
        <w:t>《淄博市冶金等工贸行业安全生产隐患大排查快整治严执法专项行动方案》</w:t>
      </w:r>
      <w:r>
        <w:rPr>
          <w:rFonts w:ascii="仿宋_GB2312" w:eastAsia="仿宋_GB2312" w:hint="eastAsia"/>
          <w:sz w:val="32"/>
          <w:szCs w:val="32"/>
        </w:rPr>
        <w:t>要求，2021年作为</w:t>
      </w:r>
      <w:r w:rsidR="006E07E2">
        <w:rPr>
          <w:rFonts w:ascii="仿宋_GB2312" w:eastAsia="仿宋_GB2312" w:hint="eastAsia"/>
          <w:sz w:val="32"/>
          <w:szCs w:val="32"/>
        </w:rPr>
        <w:t>高新区</w:t>
      </w:r>
      <w:r>
        <w:rPr>
          <w:rFonts w:ascii="仿宋_GB2312" w:eastAsia="仿宋_GB2312" w:hint="eastAsia"/>
          <w:sz w:val="32"/>
          <w:szCs w:val="32"/>
        </w:rPr>
        <w:t>安全生产专项整治三年行动安全隐患排查整治“落实突破年”，在</w:t>
      </w:r>
      <w:r w:rsidR="006E07E2">
        <w:rPr>
          <w:rFonts w:ascii="仿宋_GB2312" w:eastAsia="仿宋_GB2312" w:hint="eastAsia"/>
          <w:sz w:val="32"/>
          <w:szCs w:val="32"/>
        </w:rPr>
        <w:t>高新区</w:t>
      </w:r>
      <w:r>
        <w:rPr>
          <w:rFonts w:ascii="仿宋_GB2312" w:eastAsia="仿宋_GB2312" w:hint="eastAsia"/>
          <w:sz w:val="32"/>
          <w:szCs w:val="32"/>
        </w:rPr>
        <w:t>一并组织开展冶金等工贸行业安全生产专项行动，制定实施方案如下。</w:t>
      </w:r>
    </w:p>
    <w:p w:rsidR="00573E28" w:rsidRDefault="00656635">
      <w:pPr>
        <w:shd w:val="clear" w:color="auto" w:fill="FFFFFF"/>
        <w:snapToGrid w:val="0"/>
        <w:spacing w:line="560" w:lineRule="exact"/>
        <w:ind w:firstLineChars="177" w:firstLine="569"/>
        <w:outlineLvl w:val="0"/>
        <w:rPr>
          <w:rFonts w:ascii="黑体" w:eastAsia="黑体" w:hAnsi="黑体"/>
          <w:b/>
          <w:bCs/>
          <w:sz w:val="32"/>
          <w:szCs w:val="32"/>
        </w:rPr>
      </w:pPr>
      <w:r>
        <w:rPr>
          <w:rFonts w:ascii="黑体" w:eastAsia="黑体" w:hAnsi="黑体" w:hint="eastAsia"/>
          <w:b/>
          <w:bCs/>
          <w:sz w:val="32"/>
          <w:szCs w:val="32"/>
        </w:rPr>
        <w:t>一、总体要求</w:t>
      </w:r>
    </w:p>
    <w:p w:rsidR="00573E28" w:rsidRDefault="00656635">
      <w:pPr>
        <w:shd w:val="clear" w:color="auto" w:fill="FFFFFF"/>
        <w:snapToGrid w:val="0"/>
        <w:spacing w:line="560" w:lineRule="exact"/>
        <w:ind w:firstLineChars="200" w:firstLine="640"/>
        <w:rPr>
          <w:rFonts w:ascii="仿宋_GB2312" w:eastAsia="仿宋_GB2312"/>
          <w:sz w:val="32"/>
          <w:szCs w:val="32"/>
        </w:rPr>
      </w:pPr>
      <w:r>
        <w:rPr>
          <w:rFonts w:ascii="仿宋_GB2312" w:eastAsia="仿宋_GB2312" w:hint="eastAsia"/>
          <w:sz w:val="32"/>
          <w:szCs w:val="32"/>
        </w:rPr>
        <w:t>认真贯彻落实习近平总书记关于安全生产重要论述及系列重要讲话和指示指示精神，牢固树立以人为本、生命至上的安全 发展理念，深刻吸取近期省内外事故教训，严格落实企业安全生产隐患排查治理主体责任，彻底排查治理冶金等工贸行业企业重大事故隐患，严惩违法违规行为，坚决遏制一般以上事故，切实提高企业安全红线意识、风险防控效能、安全管理能力、事故防范效果、安全治理水平，有效推动冶金等工贸行业安全生产形势持续稳定。</w:t>
      </w:r>
    </w:p>
    <w:p w:rsidR="00573E28" w:rsidRDefault="00656635">
      <w:pPr>
        <w:shd w:val="clear" w:color="auto" w:fill="FFFFFF"/>
        <w:snapToGrid w:val="0"/>
        <w:spacing w:line="560" w:lineRule="exact"/>
        <w:ind w:firstLineChars="177" w:firstLine="569"/>
        <w:outlineLvl w:val="0"/>
        <w:rPr>
          <w:rFonts w:ascii="黑体" w:eastAsia="黑体" w:hAnsi="黑体"/>
          <w:b/>
          <w:bCs/>
          <w:sz w:val="32"/>
          <w:szCs w:val="32"/>
        </w:rPr>
      </w:pPr>
      <w:r>
        <w:rPr>
          <w:rFonts w:ascii="黑体" w:eastAsia="黑体" w:hAnsi="黑体" w:hint="eastAsia"/>
          <w:b/>
          <w:bCs/>
          <w:sz w:val="32"/>
          <w:szCs w:val="32"/>
        </w:rPr>
        <w:t>二、整治重点</w:t>
      </w:r>
    </w:p>
    <w:p w:rsidR="00573E28" w:rsidRDefault="00656635">
      <w:pPr>
        <w:snapToGrid w:val="0"/>
        <w:spacing w:line="560" w:lineRule="exact"/>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（一）共性整治重点</w:t>
      </w:r>
    </w:p>
    <w:p w:rsidR="00573E28" w:rsidRDefault="00656635">
      <w:pPr>
        <w:snapToGrid w:val="0"/>
        <w:spacing w:line="560" w:lineRule="exact"/>
        <w:ind w:firstLineChars="200" w:firstLine="643"/>
        <w:outlineLvl w:val="2"/>
        <w:rPr>
          <w:rFonts w:ascii="仿宋_GB2312" w:eastAsia="仿宋_GB2312" w:hAnsi="仿宋_GB2312" w:cs="仿宋_GB2312"/>
          <w:sz w:val="32"/>
          <w:szCs w:val="32"/>
        </w:rPr>
      </w:pPr>
      <w:r>
        <w:rPr>
          <w:rFonts w:ascii="仿宋_GB2312" w:eastAsia="仿宋_GB2312" w:hAnsi="仿宋_GB2312" w:cs="仿宋_GB2312" w:hint="eastAsia"/>
          <w:b/>
          <w:bCs/>
          <w:sz w:val="32"/>
          <w:szCs w:val="32"/>
        </w:rPr>
        <w:t>1.安全意识不强问题</w:t>
      </w:r>
    </w:p>
    <w:p w:rsidR="00573E28" w:rsidRDefault="00656635">
      <w:pPr>
        <w:snapToGrid w:val="0"/>
        <w:spacing w:line="560" w:lineRule="exact"/>
        <w:ind w:firstLineChars="200" w:firstLine="643"/>
        <w:rPr>
          <w:rFonts w:ascii="仿宋" w:eastAsia="仿宋" w:hAnsi="仿宋" w:cs="仿宋"/>
          <w:sz w:val="32"/>
          <w:szCs w:val="32"/>
        </w:rPr>
      </w:pPr>
      <w:r>
        <w:rPr>
          <w:rFonts w:ascii="仿宋_GB2312" w:eastAsia="仿宋_GB2312" w:hAnsi="仿宋_GB2312" w:cs="仿宋_GB2312" w:hint="eastAsia"/>
          <w:b/>
          <w:bCs/>
          <w:sz w:val="32"/>
          <w:szCs w:val="32"/>
        </w:rPr>
        <w:t>重点整治：</w:t>
      </w:r>
      <w:r>
        <w:rPr>
          <w:rFonts w:ascii="仿宋_GB2312" w:eastAsia="仿宋_GB2312" w:hAnsi="仿宋_GB2312" w:cs="仿宋_GB2312" w:hint="eastAsia"/>
          <w:sz w:val="32"/>
          <w:szCs w:val="32"/>
        </w:rPr>
        <w:t>红线意识和底线思维不入脑、不入心，风险意识、安全发展理念淡薄，管控风险能力、隐患排查治理内生动力不足，不积极主动排查整改自身存在的事故隐患，甚至对一线岗位人员</w:t>
      </w:r>
      <w:r>
        <w:rPr>
          <w:rFonts w:ascii="仿宋_GB2312" w:eastAsia="仿宋_GB2312" w:hAnsi="仿宋_GB2312" w:cs="仿宋_GB2312" w:hint="eastAsia"/>
          <w:sz w:val="32"/>
          <w:szCs w:val="32"/>
        </w:rPr>
        <w:lastRenderedPageBreak/>
        <w:t>“三违”行为习以为常；外包项目以包代管或包而不管等。</w:t>
      </w:r>
    </w:p>
    <w:p w:rsidR="00573E28" w:rsidRDefault="00656635">
      <w:pPr>
        <w:snapToGrid w:val="0"/>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重点检查：</w:t>
      </w:r>
      <w:r>
        <w:rPr>
          <w:rFonts w:ascii="仿宋_GB2312" w:eastAsia="仿宋_GB2312" w:hAnsi="仿宋_GB2312" w:cs="仿宋_GB2312" w:hint="eastAsia"/>
          <w:sz w:val="32"/>
          <w:szCs w:val="32"/>
        </w:rPr>
        <w:t>（1）设立安全生产管理机构、安全生产委员会、和安全总监、安全生产管理人员配备情况；（2）建立健全安全生产责任制、安全生产规章制度、事故隐患排查制度、操作规程和开展安全标准化情况；（3）安全生产费用提取和使用、参加安全生产责任保险情况；（4）与承包、承租单位签订安全生产管理协议和安全生产管理职责约定情况。</w:t>
      </w:r>
    </w:p>
    <w:p w:rsidR="00573E28" w:rsidRDefault="00656635">
      <w:pPr>
        <w:shd w:val="clear" w:color="auto" w:fill="FFFFFF"/>
        <w:snapToGrid w:val="0"/>
        <w:spacing w:line="560" w:lineRule="exact"/>
        <w:ind w:firstLineChars="200" w:firstLine="643"/>
        <w:outlineLvl w:val="2"/>
        <w:rPr>
          <w:rFonts w:ascii="仿宋_GB2312" w:eastAsia="仿宋_GB2312" w:hAnsi="仿宋_GB2312" w:cs="仿宋_GB2312"/>
          <w:sz w:val="32"/>
          <w:szCs w:val="32"/>
        </w:rPr>
      </w:pPr>
      <w:r>
        <w:rPr>
          <w:rFonts w:ascii="仿宋_GB2312" w:eastAsia="仿宋_GB2312" w:hAnsi="仿宋_GB2312" w:cs="仿宋_GB2312" w:hint="eastAsia"/>
          <w:b/>
          <w:bCs/>
          <w:sz w:val="32"/>
          <w:szCs w:val="32"/>
        </w:rPr>
        <w:t>2.双重预防体系建设运行质量不高问题</w:t>
      </w:r>
    </w:p>
    <w:p w:rsidR="00573E28" w:rsidRDefault="00656635">
      <w:pPr>
        <w:shd w:val="clear" w:color="auto" w:fill="FFFFFF"/>
        <w:snapToGrid w:val="0"/>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重点整治：</w:t>
      </w:r>
      <w:r>
        <w:rPr>
          <w:rFonts w:ascii="仿宋_GB2312" w:eastAsia="仿宋_GB2312" w:hAnsi="仿宋_GB2312" w:cs="仿宋_GB2312" w:hint="eastAsia"/>
          <w:sz w:val="32"/>
          <w:szCs w:val="32"/>
        </w:rPr>
        <w:t>双重预防体系建设认识不够，缺乏系统深入的了解，对建设方法、程序、关键要求等理解掌握不透彻；岗位管控措施不符合实际，针对性、实效性差。双重预防体系建设培训不到位；公司、部门、车间、班组、一线岗位隐患排查治理责任不落实，未充分发挥双重预防作用。</w:t>
      </w:r>
    </w:p>
    <w:p w:rsidR="00573E28" w:rsidRDefault="00656635">
      <w:pPr>
        <w:shd w:val="clear" w:color="auto" w:fill="FFFFFF"/>
        <w:snapToGrid w:val="0"/>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重点检查：</w:t>
      </w:r>
      <w:r>
        <w:rPr>
          <w:rFonts w:ascii="仿宋_GB2312" w:eastAsia="仿宋_GB2312" w:hAnsi="仿宋_GB2312" w:cs="仿宋_GB2312" w:hint="eastAsia"/>
          <w:sz w:val="32"/>
          <w:szCs w:val="32"/>
        </w:rPr>
        <w:t>（1）双重预防体系建设组织机构及其人员组成和职责分工情况；（2）双重预防体系建设培训计划、内容的符合性及落实情况；（3）风险点划分和岗位危险因素辨识情况；（4）风险分级管控制度、隐患排查治理制度、考核奖惩制度、安全风险公告制度建立和执行情况；（5）公司、部门、车间、班组和一线岗位风险管控措施符合性、针对性、实用性；（6）各岗位隐患排查内容、责任落实情况；（7）排查出的事故隐患治理和验收情况；（8）双重预防体系建设评审和更新情况。</w:t>
      </w:r>
    </w:p>
    <w:p w:rsidR="00573E28" w:rsidRDefault="00656635">
      <w:pPr>
        <w:shd w:val="clear" w:color="auto" w:fill="FFFFFF"/>
        <w:snapToGrid w:val="0"/>
        <w:spacing w:line="560" w:lineRule="exact"/>
        <w:ind w:firstLineChars="200" w:firstLine="643"/>
        <w:outlineLvl w:val="2"/>
        <w:rPr>
          <w:rFonts w:ascii="仿宋_GB2312" w:eastAsia="仿宋_GB2312" w:hAnsi="仿宋_GB2312" w:cs="仿宋_GB2312"/>
          <w:sz w:val="32"/>
          <w:szCs w:val="32"/>
        </w:rPr>
      </w:pPr>
      <w:r>
        <w:rPr>
          <w:rFonts w:ascii="仿宋_GB2312" w:eastAsia="仿宋_GB2312" w:hAnsi="仿宋_GB2312" w:cs="仿宋_GB2312" w:hint="eastAsia"/>
          <w:b/>
          <w:bCs/>
          <w:sz w:val="32"/>
          <w:szCs w:val="32"/>
        </w:rPr>
        <w:t>3.预案管理和应急保障、演练不到位问题</w:t>
      </w:r>
    </w:p>
    <w:p w:rsidR="00573E28" w:rsidRDefault="00656635">
      <w:pPr>
        <w:shd w:val="clear" w:color="auto" w:fill="FFFFFF"/>
        <w:snapToGrid w:val="0"/>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lastRenderedPageBreak/>
        <w:t>重点整治：</w:t>
      </w:r>
      <w:r>
        <w:rPr>
          <w:rFonts w:ascii="仿宋_GB2312" w:eastAsia="仿宋_GB2312" w:hAnsi="仿宋_GB2312" w:cs="仿宋_GB2312" w:hint="eastAsia"/>
          <w:sz w:val="32"/>
          <w:szCs w:val="32"/>
        </w:rPr>
        <w:t>综合性应急预案和专项预案针对性不强；实战化、常态化演练不足，应急物资、装备、经费、人员、技术等各方面的保障未落实到位；预案培训和逃生自救常识培训针对性不强。</w:t>
      </w:r>
    </w:p>
    <w:p w:rsidR="00573E28" w:rsidRDefault="00656635">
      <w:pPr>
        <w:shd w:val="clear" w:color="auto" w:fill="FFFFFF"/>
        <w:snapToGrid w:val="0"/>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重点检查：</w:t>
      </w:r>
      <w:r>
        <w:rPr>
          <w:rFonts w:ascii="仿宋_GB2312" w:eastAsia="仿宋_GB2312" w:hAnsi="仿宋_GB2312" w:cs="仿宋_GB2312" w:hint="eastAsia"/>
          <w:sz w:val="32"/>
          <w:szCs w:val="32"/>
        </w:rPr>
        <w:t>（1）应急预案制定、备案、修订情况和重点岗位应急处置卡编制情况；（2）建立应急救援队伍或签订救援协议情况；（3）建立应急值班制度和应急值班人员配备情况；（4）制定应急演练计划及实战化、常态化演练情况和演练效果评估、改进、修订情况；（5）配备应急救援物资、器材、装备及维护、保养、使用情况。</w:t>
      </w:r>
    </w:p>
    <w:p w:rsidR="00573E28" w:rsidRDefault="00656635">
      <w:pPr>
        <w:shd w:val="clear" w:color="auto" w:fill="FFFFFF"/>
        <w:snapToGrid w:val="0"/>
        <w:spacing w:line="560" w:lineRule="exact"/>
        <w:ind w:firstLineChars="200" w:firstLine="643"/>
        <w:outlineLvl w:val="2"/>
        <w:rPr>
          <w:rFonts w:ascii="仿宋_GB2312" w:eastAsia="仿宋_GB2312" w:hAnsi="仿宋_GB2312" w:cs="仿宋_GB2312"/>
          <w:sz w:val="32"/>
          <w:szCs w:val="32"/>
        </w:rPr>
      </w:pPr>
      <w:r>
        <w:rPr>
          <w:rFonts w:ascii="仿宋_GB2312" w:eastAsia="仿宋_GB2312" w:hAnsi="仿宋_GB2312" w:cs="仿宋_GB2312" w:hint="eastAsia"/>
          <w:b/>
          <w:bCs/>
          <w:sz w:val="32"/>
          <w:szCs w:val="32"/>
        </w:rPr>
        <w:t>4.安全培训不到位问题</w:t>
      </w:r>
    </w:p>
    <w:p w:rsidR="00573E28" w:rsidRDefault="00656635">
      <w:pPr>
        <w:shd w:val="clear" w:color="auto" w:fill="FFFFFF"/>
        <w:snapToGrid w:val="0"/>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重点整治：</w:t>
      </w:r>
      <w:r>
        <w:rPr>
          <w:rFonts w:ascii="仿宋_GB2312" w:eastAsia="仿宋_GB2312" w:hAnsi="仿宋_GB2312" w:cs="仿宋_GB2312" w:hint="eastAsia"/>
          <w:sz w:val="32"/>
          <w:szCs w:val="32"/>
        </w:rPr>
        <w:t>安全培训内容针对性差，考核随意，不按规定落实全员培训，考核不严格；特种作业人员未持证上岗，主要负责人和安全管理人员安全安全管理能力不强，“三违”问题突出。</w:t>
      </w:r>
    </w:p>
    <w:p w:rsidR="00573E28" w:rsidRDefault="00656635">
      <w:pPr>
        <w:shd w:val="clear" w:color="auto" w:fill="FFFFFF"/>
        <w:snapToGrid w:val="0"/>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重点检查：</w:t>
      </w:r>
      <w:r>
        <w:rPr>
          <w:rFonts w:ascii="仿宋_GB2312" w:eastAsia="仿宋_GB2312" w:hAnsi="仿宋_GB2312" w:cs="仿宋_GB2312" w:hint="eastAsia"/>
          <w:sz w:val="32"/>
          <w:szCs w:val="32"/>
        </w:rPr>
        <w:t>（1）主要负责人分层次、分类别、分岗位制定年度培训计划及实施情况；（2）培训经费列支、使用情况；（3）特种作业人员培训档案建立及管理情况；（4）从业人员培训考试及持证上岗情况；（5）“三类人员”持证上岗情况。</w:t>
      </w:r>
    </w:p>
    <w:p w:rsidR="00573E28" w:rsidRDefault="00656635">
      <w:pPr>
        <w:snapToGrid w:val="0"/>
        <w:spacing w:line="560" w:lineRule="exact"/>
        <w:ind w:firstLineChars="200" w:firstLine="643"/>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（二）专项整治重点</w:t>
      </w:r>
    </w:p>
    <w:p w:rsidR="00573E28" w:rsidRDefault="00656635">
      <w:pPr>
        <w:pStyle w:val="Default"/>
        <w:snapToGrid w:val="0"/>
        <w:spacing w:line="560" w:lineRule="exact"/>
        <w:ind w:firstLineChars="200" w:firstLine="643"/>
        <w:rPr>
          <w:rFonts w:ascii="仿宋_GB2312" w:eastAsia="仿宋_GB2312" w:hAnsi="仿宋_GB2312" w:cs="仿宋_GB2312" w:hint="default"/>
          <w:b/>
          <w:bCs/>
          <w:sz w:val="32"/>
          <w:szCs w:val="32"/>
        </w:rPr>
      </w:pPr>
      <w:r>
        <w:rPr>
          <w:rFonts w:ascii="仿宋_GB2312" w:eastAsia="仿宋_GB2312" w:hAnsi="仿宋_GB2312" w:cs="仿宋_GB2312"/>
          <w:b/>
          <w:bCs/>
          <w:sz w:val="32"/>
          <w:szCs w:val="32"/>
        </w:rPr>
        <w:t>1.冶金有色</w:t>
      </w:r>
    </w:p>
    <w:p w:rsidR="00573E28" w:rsidRDefault="00656635">
      <w:pPr>
        <w:shd w:val="clear" w:color="auto" w:fill="FFFFFF"/>
        <w:snapToGrid w:val="0"/>
        <w:spacing w:line="560" w:lineRule="exact"/>
        <w:ind w:firstLine="638"/>
        <w:jc w:val="left"/>
        <w:rPr>
          <w:rFonts w:ascii="仿宋_GB2312" w:eastAsia="仿宋_GB2312" w:hAnsi="仿宋_GB2312" w:cs="仿宋_GB2312"/>
          <w:sz w:val="32"/>
          <w:szCs w:val="32"/>
        </w:rPr>
      </w:pPr>
      <w:r>
        <w:rPr>
          <w:rFonts w:ascii="仿宋_GB2312" w:eastAsia="仿宋_GB2312" w:hAnsi="仿宋_GB2312" w:cs="仿宋_GB2312" w:hint="eastAsia"/>
          <w:b/>
          <w:bCs/>
          <w:sz w:val="32"/>
          <w:szCs w:val="32"/>
        </w:rPr>
        <w:t>重点整治：</w:t>
      </w:r>
      <w:r>
        <w:rPr>
          <w:rFonts w:ascii="仿宋_GB2312" w:eastAsia="仿宋_GB2312" w:hAnsi="仿宋_GB2312" w:cs="仿宋_GB2312" w:hint="eastAsia"/>
          <w:sz w:val="32"/>
          <w:szCs w:val="32"/>
        </w:rPr>
        <w:t>铁冶炼、钢冶炼、铁水预处理、炉外精炼和连铸，有色金属火法冶炼，铁合金生产，黑色、有色金属铸造的熔炼、精炼和铸造，有色金属合金制造的熔炼、精炼和铸造企业中涉及</w:t>
      </w:r>
      <w:r>
        <w:rPr>
          <w:rFonts w:ascii="仿宋_GB2312" w:eastAsia="仿宋_GB2312" w:hAnsi="仿宋_GB2312" w:cs="仿宋_GB2312" w:hint="eastAsia"/>
          <w:sz w:val="32"/>
          <w:szCs w:val="32"/>
        </w:rPr>
        <w:lastRenderedPageBreak/>
        <w:t>易燃易爆、有毒有害、高温高压的工艺设备。</w:t>
      </w:r>
    </w:p>
    <w:p w:rsidR="00573E28" w:rsidRDefault="00656635">
      <w:pPr>
        <w:shd w:val="clear" w:color="auto" w:fill="FFFFFF"/>
        <w:snapToGrid w:val="0"/>
        <w:spacing w:line="560" w:lineRule="exact"/>
        <w:ind w:firstLine="641"/>
        <w:rPr>
          <w:rFonts w:ascii="仿宋_GB2312" w:eastAsia="仿宋_GB2312" w:hAnsi="仿宋_GB2312" w:cs="仿宋_GB2312"/>
          <w:sz w:val="32"/>
          <w:szCs w:val="32"/>
        </w:rPr>
      </w:pPr>
      <w:r>
        <w:rPr>
          <w:rFonts w:ascii="仿宋_GB2312" w:eastAsia="仿宋_GB2312" w:hAnsi="仿宋_GB2312" w:cs="仿宋_GB2312" w:hint="eastAsia"/>
          <w:b/>
          <w:bCs/>
          <w:sz w:val="32"/>
          <w:szCs w:val="32"/>
        </w:rPr>
        <w:t>重点检查：</w:t>
      </w:r>
      <w:r>
        <w:rPr>
          <w:rFonts w:ascii="仿宋_GB2312" w:eastAsia="仿宋_GB2312" w:hAnsi="仿宋_GB2312" w:cs="仿宋_GB2312" w:hint="eastAsia"/>
          <w:sz w:val="32"/>
          <w:szCs w:val="32"/>
        </w:rPr>
        <w:t>（1）煤气安全设备设施设置情况；（2）施工区域煤气隔断措施制定及落实情况；（3）预防泄漏、中毒、窒息、爆炸等制度制定及落实情况；（4）维修作业安全确认、交底、监护到位情况；（5）铸造装置维护情况；（6）吊运高温熔融金属的起重机与标准的符合情况；（7）高温熔融金属吊运影响区域内人员聚集场所设置情况。</w:t>
      </w:r>
    </w:p>
    <w:p w:rsidR="00573E28" w:rsidRDefault="00656635">
      <w:pPr>
        <w:shd w:val="clear" w:color="auto" w:fill="FFFFFF"/>
        <w:snapToGrid w:val="0"/>
        <w:spacing w:line="560" w:lineRule="exact"/>
        <w:ind w:firstLineChars="200" w:firstLine="643"/>
        <w:jc w:val="left"/>
        <w:outlineLvl w:val="2"/>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2.粉尘防爆</w:t>
      </w:r>
    </w:p>
    <w:p w:rsidR="00573E28" w:rsidRDefault="00656635">
      <w:pPr>
        <w:shd w:val="clear" w:color="auto" w:fill="FFFFFF"/>
        <w:snapToGrid w:val="0"/>
        <w:spacing w:line="560" w:lineRule="exact"/>
        <w:ind w:firstLineChars="200" w:firstLine="643"/>
        <w:jc w:val="left"/>
        <w:rPr>
          <w:rFonts w:ascii="仿宋_GB2312" w:eastAsia="仿宋_GB2312" w:hAnsi="仿宋_GB2312" w:cs="仿宋_GB2312"/>
          <w:kern w:val="0"/>
          <w:sz w:val="32"/>
          <w:szCs w:val="32"/>
        </w:rPr>
      </w:pPr>
      <w:r>
        <w:rPr>
          <w:rFonts w:ascii="仿宋_GB2312" w:eastAsia="仿宋_GB2312" w:hAnsi="仿宋_GB2312" w:cs="仿宋_GB2312" w:hint="eastAsia"/>
          <w:b/>
          <w:bCs/>
          <w:sz w:val="32"/>
          <w:szCs w:val="32"/>
        </w:rPr>
        <w:t>重点整治：</w:t>
      </w:r>
      <w:r>
        <w:rPr>
          <w:rFonts w:ascii="仿宋_GB2312" w:eastAsia="仿宋_GB2312" w:hAnsi="仿宋_GB2312" w:cs="仿宋_GB2312" w:hint="eastAsia"/>
          <w:sz w:val="32"/>
          <w:szCs w:val="32"/>
        </w:rPr>
        <w:t>粉尘爆炸危险场所建构筑物、除尘系统、防火措施、粉尘清扫四个方面的重大事故隐患。</w:t>
      </w:r>
    </w:p>
    <w:p w:rsidR="00573E28" w:rsidRDefault="00656635">
      <w:pPr>
        <w:shd w:val="clear" w:color="auto" w:fill="FFFFFF"/>
        <w:snapToGrid w:val="0"/>
        <w:spacing w:line="56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kern w:val="0"/>
          <w:sz w:val="32"/>
          <w:szCs w:val="32"/>
        </w:rPr>
        <w:t>重点检查：</w:t>
      </w:r>
      <w:r>
        <w:rPr>
          <w:rFonts w:ascii="仿宋_GB2312" w:eastAsia="仿宋_GB2312" w:hAnsi="仿宋_GB2312" w:cs="仿宋_GB2312" w:hint="eastAsia"/>
          <w:sz w:val="32"/>
          <w:szCs w:val="32"/>
        </w:rPr>
        <w:t>（1）粉尘爆炸危险场所与居民区、员工宿舍、会议室等人员密集场所的安全距离；（2）干式除尘系统采取泄爆、隔爆、惰化、抑爆等控爆措施情况；（3）除尘系统采用负压收尘和防范点燃源措施落实情况；（4）粉尘沉降室、除尘风道与相关规定的符合情况；（5）铝镁等金属粉尘及木质粉尘的干式除尘系统锁气卸灰装置设置及维护情况；（6）粉尘爆炸危险场所的20区防爆电气设备设施使用及完好情况;（7）在粉碎、研磨、造粒等易产生机械点火源的工艺设备前，去除铁、石等异物的装置设置及完好情况;（8）木制品加工企业，与砂光机连接的风管火花探测报警装置设置及完好情况；（9）作业现场积尘清理情况。</w:t>
      </w:r>
    </w:p>
    <w:p w:rsidR="00573E28" w:rsidRDefault="006E07E2">
      <w:pPr>
        <w:shd w:val="clear" w:color="auto" w:fill="FFFFFF"/>
        <w:snapToGrid w:val="0"/>
        <w:spacing w:line="560" w:lineRule="exact"/>
        <w:ind w:firstLine="638"/>
        <w:jc w:val="left"/>
        <w:outlineLvl w:val="2"/>
        <w:rPr>
          <w:rFonts w:ascii="仿宋_GB2312" w:eastAsia="仿宋_GB2312" w:hAnsi="仿宋_GB2312" w:cs="仿宋_GB2312"/>
          <w:b/>
          <w:sz w:val="32"/>
          <w:szCs w:val="32"/>
        </w:rPr>
      </w:pPr>
      <w:r>
        <w:rPr>
          <w:rFonts w:ascii="仿宋_GB2312" w:eastAsia="仿宋_GB2312" w:hAnsi="仿宋_GB2312" w:cs="仿宋_GB2312"/>
          <w:b/>
          <w:sz w:val="32"/>
          <w:szCs w:val="32"/>
        </w:rPr>
        <w:t>3</w:t>
      </w:r>
      <w:r w:rsidR="00656635">
        <w:rPr>
          <w:rFonts w:ascii="仿宋_GB2312" w:eastAsia="仿宋_GB2312" w:hAnsi="仿宋_GB2312" w:cs="仿宋_GB2312" w:hint="eastAsia"/>
          <w:b/>
          <w:sz w:val="32"/>
          <w:szCs w:val="32"/>
        </w:rPr>
        <w:t>.有限空间作业</w:t>
      </w:r>
    </w:p>
    <w:p w:rsidR="00573E28" w:rsidRDefault="00656635">
      <w:pPr>
        <w:shd w:val="clear" w:color="auto" w:fill="FFFFFF"/>
        <w:snapToGrid w:val="0"/>
        <w:spacing w:line="560" w:lineRule="exact"/>
        <w:ind w:firstLine="641"/>
        <w:rPr>
          <w:rFonts w:ascii="仿宋_GB2312" w:eastAsia="仿宋_GB2312" w:hAnsi="仿宋_GB2312" w:cs="仿宋_GB2312"/>
          <w:bCs/>
          <w:sz w:val="32"/>
          <w:szCs w:val="32"/>
        </w:rPr>
      </w:pPr>
      <w:r>
        <w:rPr>
          <w:rFonts w:ascii="仿宋_GB2312" w:eastAsia="仿宋_GB2312" w:hAnsi="仿宋_GB2312" w:cs="仿宋_GB2312" w:hint="eastAsia"/>
          <w:b/>
          <w:sz w:val="32"/>
          <w:szCs w:val="32"/>
        </w:rPr>
        <w:lastRenderedPageBreak/>
        <w:t>重点整治：</w:t>
      </w:r>
      <w:r>
        <w:rPr>
          <w:rFonts w:ascii="仿宋_GB2312" w:eastAsia="仿宋_GB2312" w:hAnsi="仿宋_GB2312" w:cs="仿宋_GB2312" w:hint="eastAsia"/>
          <w:bCs/>
          <w:sz w:val="32"/>
          <w:szCs w:val="32"/>
        </w:rPr>
        <w:t>未</w:t>
      </w:r>
      <w:r>
        <w:rPr>
          <w:rFonts w:ascii="仿宋_GB2312" w:eastAsia="仿宋_GB2312" w:hAnsi="仿宋_GB2312" w:cs="仿宋_GB2312" w:hint="eastAsia"/>
          <w:kern w:val="0"/>
          <w:sz w:val="32"/>
          <w:szCs w:val="32"/>
        </w:rPr>
        <w:t>全面辨识有限空间作业场所风险隐患并设置明显的安全警示标志和未经审批</w:t>
      </w:r>
      <w:r>
        <w:rPr>
          <w:rFonts w:ascii="仿宋_GB2312" w:eastAsia="仿宋_GB2312" w:hAnsi="仿宋_GB2312" w:cs="仿宋_GB2312" w:hint="eastAsia"/>
          <w:bCs/>
          <w:sz w:val="32"/>
          <w:szCs w:val="32"/>
        </w:rPr>
        <w:t>擅自进入</w:t>
      </w:r>
      <w:r>
        <w:rPr>
          <w:rFonts w:ascii="仿宋_GB2312" w:eastAsia="仿宋_GB2312" w:hAnsi="仿宋_GB2312" w:cs="仿宋_GB2312" w:hint="eastAsia"/>
          <w:kern w:val="0"/>
          <w:sz w:val="32"/>
          <w:szCs w:val="32"/>
        </w:rPr>
        <w:t>有限空间作业两项问题。</w:t>
      </w:r>
    </w:p>
    <w:p w:rsidR="00573E28" w:rsidRDefault="00656635">
      <w:pPr>
        <w:shd w:val="clear" w:color="auto" w:fill="FFFFFF"/>
        <w:snapToGrid w:val="0"/>
        <w:spacing w:line="560" w:lineRule="exact"/>
        <w:ind w:firstLine="641"/>
        <w:rPr>
          <w:rFonts w:ascii="仿宋_GB2312" w:eastAsia="仿宋_GB2312" w:hAnsi="仿宋_GB2312" w:cs="仿宋_GB2312"/>
          <w:bCs/>
          <w:sz w:val="32"/>
          <w:szCs w:val="32"/>
        </w:rPr>
      </w:pPr>
      <w:r>
        <w:rPr>
          <w:rFonts w:ascii="仿宋_GB2312" w:eastAsia="仿宋_GB2312" w:hAnsi="仿宋_GB2312" w:cs="仿宋_GB2312" w:hint="eastAsia"/>
          <w:b/>
          <w:sz w:val="32"/>
          <w:szCs w:val="32"/>
        </w:rPr>
        <w:t>重点检查：</w:t>
      </w:r>
      <w:r>
        <w:rPr>
          <w:rFonts w:ascii="仿宋_GB2312" w:eastAsia="仿宋_GB2312" w:hAnsi="仿宋_GB2312" w:cs="仿宋_GB2312" w:hint="eastAsia"/>
          <w:bCs/>
          <w:sz w:val="32"/>
          <w:szCs w:val="32"/>
        </w:rPr>
        <w:t>（1）作业审批制度执行情况；（2）作业人员防中毒窒息等防护装备配备情况；（3）有限空间作业场所“先通风、再检测、后作业”安全操作规程悬挂及安全警示标识设置情况；（4）有限空间作业应急措施制定情况。</w:t>
      </w:r>
    </w:p>
    <w:p w:rsidR="00573E28" w:rsidRDefault="00656635">
      <w:pPr>
        <w:shd w:val="clear" w:color="auto" w:fill="FFFFFF"/>
        <w:snapToGrid w:val="0"/>
        <w:spacing w:line="560" w:lineRule="exact"/>
        <w:ind w:firstLineChars="177" w:firstLine="569"/>
        <w:outlineLvl w:val="0"/>
        <w:rPr>
          <w:rFonts w:ascii="黑体" w:eastAsia="黑体" w:hAnsi="黑体"/>
          <w:b/>
          <w:bCs/>
          <w:sz w:val="32"/>
          <w:szCs w:val="32"/>
        </w:rPr>
      </w:pPr>
      <w:r>
        <w:rPr>
          <w:rFonts w:ascii="黑体" w:eastAsia="黑体" w:hAnsi="黑体" w:hint="eastAsia"/>
          <w:b/>
          <w:bCs/>
          <w:sz w:val="32"/>
          <w:szCs w:val="32"/>
        </w:rPr>
        <w:t>三、方法步骤</w:t>
      </w:r>
    </w:p>
    <w:p w:rsidR="00573E28" w:rsidRDefault="00656635">
      <w:pPr>
        <w:shd w:val="clear" w:color="auto" w:fill="FFFFFF"/>
        <w:snapToGrid w:val="0"/>
        <w:spacing w:line="560" w:lineRule="exact"/>
        <w:ind w:firstLineChars="177" w:firstLine="569"/>
        <w:outlineLvl w:val="1"/>
        <w:rPr>
          <w:rFonts w:ascii="楷体" w:eastAsia="楷体" w:hAnsi="楷体"/>
          <w:b/>
          <w:bCs/>
          <w:sz w:val="32"/>
          <w:szCs w:val="32"/>
        </w:rPr>
      </w:pPr>
      <w:r>
        <w:rPr>
          <w:rFonts w:ascii="楷体_GB2312" w:eastAsia="楷体_GB2312" w:hAnsi="楷体_GB2312" w:cs="楷体_GB2312" w:hint="eastAsia"/>
          <w:b/>
          <w:bCs/>
          <w:sz w:val="32"/>
          <w:szCs w:val="32"/>
        </w:rPr>
        <w:t>（一）动员部署阶段（1月底前）</w:t>
      </w:r>
    </w:p>
    <w:p w:rsidR="00573E28" w:rsidRDefault="00656635">
      <w:pPr>
        <w:shd w:val="clear" w:color="auto" w:fill="FFFFFF"/>
        <w:snapToGrid w:val="0"/>
        <w:spacing w:line="560" w:lineRule="exact"/>
        <w:ind w:firstLineChars="177" w:firstLine="566"/>
        <w:rPr>
          <w:rFonts w:ascii="仿宋_GB2312" w:eastAsia="仿宋_GB2312" w:hAnsi="Arial" w:cs="Arial"/>
          <w:kern w:val="0"/>
          <w:sz w:val="32"/>
          <w:szCs w:val="32"/>
        </w:rPr>
      </w:pPr>
      <w:r>
        <w:rPr>
          <w:rFonts w:ascii="仿宋_GB2312" w:eastAsia="仿宋_GB2312" w:hAnsi="Arial" w:cs="Arial" w:hint="eastAsia"/>
          <w:kern w:val="0"/>
          <w:sz w:val="32"/>
          <w:szCs w:val="32"/>
        </w:rPr>
        <w:t>要将冶金等工贸行业安全生产集中整治与省、市安全生产集中整治同步部署，深入分析冶金等工贸行业在安全生产方面存在的短板弱项，制定具体实施方案，明确职责分工，压实监管责任和企业隐患排查治理责任。</w:t>
      </w:r>
      <w:r>
        <w:rPr>
          <w:rFonts w:ascii="仿宋_GB2312" w:eastAsia="仿宋_GB2312" w:hint="eastAsia"/>
          <w:sz w:val="32"/>
          <w:szCs w:val="32"/>
        </w:rPr>
        <w:t>集中整治期间，各阶段工作要压茬进行。</w:t>
      </w:r>
    </w:p>
    <w:p w:rsidR="00573E28" w:rsidRDefault="00656635">
      <w:pPr>
        <w:shd w:val="clear" w:color="auto" w:fill="FFFFFF"/>
        <w:snapToGrid w:val="0"/>
        <w:spacing w:line="560" w:lineRule="exact"/>
        <w:ind w:firstLineChars="177" w:firstLine="569"/>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（二）企业自查自纠阶段（2021年2月到10月底）</w:t>
      </w:r>
    </w:p>
    <w:p w:rsidR="00573E28" w:rsidRDefault="00656635">
      <w:pPr>
        <w:overflowPunct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全面落实隐患排查治理主体责任，要结合《冶金等工贸行业集中整治检查表》（附件2）和本企业实际，按照双重预防体系运行要求，从基础管理、岗位风险管控和设备设施巡查、维护方面，进行全面彻底、不留死角的自查自纠。对排查出的安全隐患要登记建档，逐项制定整改方案，按照责任、措施、资金、时限和预案“五落实”的要求，及时彻底整改。自查自纠和隐患整改情况要形成书面报告，由主要负责人签字、盖章后于每月</w:t>
      </w:r>
      <w:r w:rsidR="0032280F">
        <w:rPr>
          <w:rFonts w:ascii="仿宋_GB2312" w:eastAsia="仿宋_GB2312" w:hAnsi="仿宋_GB2312" w:cs="仿宋_GB2312"/>
          <w:sz w:val="32"/>
          <w:szCs w:val="32"/>
        </w:rPr>
        <w:t>2</w:t>
      </w:r>
      <w:r w:rsidR="007F3258">
        <w:rPr>
          <w:rFonts w:ascii="仿宋_GB2312" w:eastAsia="仿宋_GB2312" w:hAnsi="仿宋_GB2312" w:cs="仿宋_GB2312"/>
          <w:sz w:val="32"/>
          <w:szCs w:val="32"/>
        </w:rPr>
        <w:t>0</w:t>
      </w:r>
      <w:r>
        <w:rPr>
          <w:rFonts w:ascii="仿宋_GB2312" w:eastAsia="仿宋_GB2312" w:hAnsi="仿宋_GB2312" w:cs="仿宋_GB2312" w:hint="eastAsia"/>
          <w:sz w:val="32"/>
          <w:szCs w:val="32"/>
        </w:rPr>
        <w:t>日报</w:t>
      </w:r>
      <w:r w:rsidR="007F3258">
        <w:rPr>
          <w:rFonts w:ascii="仿宋_GB2312" w:eastAsia="仿宋_GB2312" w:hAnsi="仿宋_GB2312" w:cs="仿宋_GB2312" w:hint="eastAsia"/>
          <w:sz w:val="32"/>
          <w:szCs w:val="32"/>
        </w:rPr>
        <w:t>高新区</w:t>
      </w:r>
      <w:r>
        <w:rPr>
          <w:rFonts w:ascii="仿宋_GB2312" w:eastAsia="仿宋_GB2312" w:hAnsi="仿宋_GB2312" w:cs="仿宋_GB2312" w:hint="eastAsia"/>
          <w:sz w:val="32"/>
          <w:szCs w:val="32"/>
        </w:rPr>
        <w:t>应急管理</w:t>
      </w:r>
      <w:r w:rsidR="007F3258">
        <w:rPr>
          <w:rFonts w:ascii="仿宋_GB2312" w:eastAsia="仿宋_GB2312" w:hAnsi="仿宋_GB2312" w:cs="仿宋_GB2312" w:hint="eastAsia"/>
          <w:sz w:val="32"/>
          <w:szCs w:val="32"/>
        </w:rPr>
        <w:t>中心</w:t>
      </w:r>
      <w:r>
        <w:rPr>
          <w:rFonts w:ascii="仿宋_GB2312" w:eastAsia="仿宋_GB2312" w:hAnsi="仿宋_GB2312" w:cs="仿宋_GB2312" w:hint="eastAsia"/>
          <w:sz w:val="32"/>
          <w:szCs w:val="32"/>
        </w:rPr>
        <w:t>备案。专业技术力量不足的，要聘请专</w:t>
      </w:r>
      <w:r>
        <w:rPr>
          <w:rFonts w:ascii="仿宋_GB2312" w:eastAsia="仿宋_GB2312" w:hAnsi="仿宋_GB2312" w:cs="仿宋_GB2312" w:hint="eastAsia"/>
          <w:sz w:val="32"/>
          <w:szCs w:val="32"/>
        </w:rPr>
        <w:lastRenderedPageBreak/>
        <w:t>家或技术服务机构进行全方位全过程的“诊断式”检查，精准把脉，解决问题；也可根据需要提出专家需求，报属地县级以上应急管理部门协调解决，确保实效。</w:t>
      </w:r>
    </w:p>
    <w:p w:rsidR="00573E28" w:rsidRDefault="00656635">
      <w:pPr>
        <w:overflowPunct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加强应急预案实战性和常态化演练。金属冶炼、涉爆粉尘、涉有限空间企业要定期组织开展预案的实战性演练，演练结束后对演练效果进行分析评估，总结不足，修订完善应急预案，锻炼员工实战能力，提高灾害自救能力。</w:t>
      </w:r>
    </w:p>
    <w:p w:rsidR="00573E28" w:rsidRDefault="00656635">
      <w:pPr>
        <w:overflowPunct w:val="0"/>
        <w:snapToGri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3.及时汇总分析整治情况。</w:t>
      </w:r>
      <w:r w:rsidR="007F3258">
        <w:rPr>
          <w:rFonts w:ascii="仿宋_GB2312" w:eastAsia="仿宋_GB2312" w:hAnsi="仿宋_GB2312" w:cs="仿宋_GB2312" w:hint="eastAsia"/>
          <w:sz w:val="32"/>
          <w:szCs w:val="32"/>
        </w:rPr>
        <w:t>企业安全</w:t>
      </w:r>
      <w:r>
        <w:rPr>
          <w:rFonts w:ascii="仿宋_GB2312" w:eastAsia="仿宋_GB2312" w:hAnsi="仿宋_GB2312" w:cs="仿宋_GB2312" w:hint="eastAsia"/>
          <w:sz w:val="32"/>
          <w:szCs w:val="32"/>
        </w:rPr>
        <w:t>领导小组要充分利用全体会议、车间会议、班前会等形式，认真汇总、分析本单位集中整治工作中存在的问题，研究针对性解决措施。主要负责人要在人力、物力、财力、技术等方面做好保障，及时通报工作进展情况，奖优罚劣，确保安全生产。</w:t>
      </w:r>
    </w:p>
    <w:p w:rsidR="00573E28" w:rsidRDefault="00656635">
      <w:pPr>
        <w:shd w:val="clear" w:color="auto" w:fill="FFFFFF"/>
        <w:snapToGrid w:val="0"/>
        <w:spacing w:line="560" w:lineRule="exact"/>
        <w:ind w:firstLineChars="177" w:firstLine="569"/>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（三）执法检查阶段（2021年2月－11月底）</w:t>
      </w:r>
    </w:p>
    <w:p w:rsidR="00573E28" w:rsidRDefault="00656635">
      <w:pPr>
        <w:shd w:val="clear" w:color="auto" w:fill="FFFFFF"/>
        <w:snapToGrid w:val="0"/>
        <w:spacing w:line="560" w:lineRule="exact"/>
        <w:ind w:firstLineChars="177" w:firstLine="566"/>
        <w:rPr>
          <w:rFonts w:ascii="仿宋_GB2312" w:eastAsia="仿宋_GB2312"/>
          <w:sz w:val="32"/>
          <w:szCs w:val="32"/>
        </w:rPr>
      </w:pPr>
      <w:r>
        <w:rPr>
          <w:rFonts w:ascii="仿宋_GB2312" w:eastAsia="仿宋_GB2312" w:hAnsi="仿宋_GB2312" w:cs="仿宋_GB2312" w:hint="eastAsia"/>
          <w:sz w:val="32"/>
          <w:szCs w:val="32"/>
        </w:rPr>
        <w:t>1.周密制定执法计划。</w:t>
      </w:r>
      <w:r>
        <w:rPr>
          <w:rFonts w:ascii="仿宋_GB2312" w:eastAsia="仿宋_GB2312" w:hint="eastAsia"/>
          <w:sz w:val="32"/>
          <w:szCs w:val="32"/>
        </w:rPr>
        <w:t>认真梳理分析企业上报的自查报告，按照全覆盖要求和监管职责，制定执法计划，确保</w:t>
      </w:r>
      <w:r w:rsidR="008C7CC8">
        <w:rPr>
          <w:rFonts w:ascii="仿宋_GB2312" w:eastAsia="仿宋_GB2312" w:hint="eastAsia"/>
          <w:sz w:val="32"/>
          <w:szCs w:val="32"/>
        </w:rPr>
        <w:t>冶金有色、粉尘防爆、有限空间作业等重点领域</w:t>
      </w:r>
      <w:r>
        <w:rPr>
          <w:rFonts w:ascii="仿宋_GB2312" w:eastAsia="仿宋_GB2312" w:hint="eastAsia"/>
          <w:sz w:val="32"/>
          <w:szCs w:val="32"/>
        </w:rPr>
        <w:t>企业检查一遍。</w:t>
      </w:r>
    </w:p>
    <w:p w:rsidR="00573E28" w:rsidRDefault="00656635">
      <w:pPr>
        <w:shd w:val="clear" w:color="auto" w:fill="FFFFFF"/>
        <w:snapToGrid w:val="0"/>
        <w:spacing w:line="560" w:lineRule="exact"/>
        <w:ind w:firstLineChars="177" w:firstLine="566"/>
        <w:rPr>
          <w:rFonts w:ascii="仿宋_GB2312" w:eastAsia="仿宋_GB2312"/>
          <w:sz w:val="32"/>
          <w:szCs w:val="32"/>
        </w:rPr>
      </w:pPr>
      <w:r>
        <w:rPr>
          <w:rFonts w:ascii="仿宋_GB2312" w:eastAsia="仿宋_GB2312" w:hint="eastAsia"/>
          <w:sz w:val="32"/>
          <w:szCs w:val="32"/>
        </w:rPr>
        <w:t>2.加大执法检查力度。依据《冶金等工贸行业集中整治检查表》（附件</w:t>
      </w:r>
      <w:r w:rsidR="008C7CC8">
        <w:rPr>
          <w:rFonts w:ascii="仿宋_GB2312" w:eastAsia="仿宋_GB2312"/>
          <w:sz w:val="32"/>
          <w:szCs w:val="32"/>
        </w:rPr>
        <w:t>3</w:t>
      </w:r>
      <w:r>
        <w:rPr>
          <w:rFonts w:ascii="仿宋_GB2312" w:eastAsia="仿宋_GB2312" w:hint="eastAsia"/>
          <w:sz w:val="32"/>
          <w:szCs w:val="32"/>
        </w:rPr>
        <w:t>），组织精干执法力量，对冶金有色、粉尘防爆、有限空间作业等重点领域开展执法检查。</w:t>
      </w:r>
      <w:r w:rsidR="007F3258">
        <w:rPr>
          <w:rFonts w:ascii="仿宋_GB2312" w:eastAsia="仿宋_GB2312" w:hint="eastAsia"/>
          <w:sz w:val="32"/>
          <w:szCs w:val="32"/>
        </w:rPr>
        <w:t>各</w:t>
      </w:r>
      <w:r w:rsidR="007F3258" w:rsidRPr="00656635">
        <w:rPr>
          <w:rFonts w:ascii="仿宋_GB2312" w:eastAsia="仿宋_GB2312" w:hAnsi="仿宋_GB2312" w:cs="仿宋_GB2312" w:hint="eastAsia"/>
          <w:sz w:val="32"/>
          <w:szCs w:val="32"/>
        </w:rPr>
        <w:t>园区、街道、镇</w:t>
      </w:r>
      <w:r w:rsidR="007F3258">
        <w:rPr>
          <w:rFonts w:ascii="仿宋_GB2312" w:eastAsia="仿宋_GB2312" w:hint="eastAsia"/>
          <w:sz w:val="32"/>
          <w:szCs w:val="32"/>
        </w:rPr>
        <w:t>要严格落实属地监管责任，强化监督检查。</w:t>
      </w:r>
      <w:r>
        <w:rPr>
          <w:rFonts w:ascii="仿宋_GB2312" w:eastAsia="仿宋_GB2312" w:hint="eastAsia"/>
          <w:sz w:val="32"/>
          <w:szCs w:val="32"/>
        </w:rPr>
        <w:t>对企业自查自纠中发现的事故隐患，如企业已发现并整改或按照责任、措施、资金、时限、预案“五到位”要求制定整改方案的，可暂时不予处罚；逾期不</w:t>
      </w:r>
      <w:r>
        <w:rPr>
          <w:rFonts w:ascii="仿宋_GB2312" w:eastAsia="仿宋_GB2312" w:hint="eastAsia"/>
          <w:sz w:val="32"/>
          <w:szCs w:val="32"/>
        </w:rPr>
        <w:lastRenderedPageBreak/>
        <w:t>整改的，依法予以严格处罚。</w:t>
      </w:r>
      <w:r w:rsidR="00F9418A">
        <w:rPr>
          <w:rFonts w:ascii="仿宋_GB2312" w:eastAsia="仿宋_GB2312" w:hint="eastAsia"/>
          <w:sz w:val="32"/>
          <w:szCs w:val="32"/>
        </w:rPr>
        <w:t>一旦</w:t>
      </w:r>
      <w:r>
        <w:rPr>
          <w:rFonts w:ascii="仿宋_GB2312" w:eastAsia="仿宋_GB2312" w:hint="eastAsia"/>
          <w:sz w:val="32"/>
          <w:szCs w:val="32"/>
        </w:rPr>
        <w:t>发现企业未按照要求开展自查自纠或隐患整改不彻底的，要责令停产整顿并依法处罚；发现执法检查不认真的，要严肃通报批评。</w:t>
      </w:r>
    </w:p>
    <w:p w:rsidR="00573E28" w:rsidRDefault="00656635">
      <w:pPr>
        <w:shd w:val="clear" w:color="auto" w:fill="FFFFFF"/>
        <w:snapToGrid w:val="0"/>
        <w:spacing w:line="560" w:lineRule="exact"/>
        <w:ind w:firstLineChars="177" w:firstLine="566"/>
        <w:rPr>
          <w:rFonts w:ascii="仿宋_GB2312" w:eastAsia="仿宋_GB2312"/>
          <w:sz w:val="32"/>
          <w:szCs w:val="32"/>
        </w:rPr>
      </w:pPr>
      <w:r>
        <w:rPr>
          <w:rFonts w:ascii="仿宋_GB2312" w:eastAsia="仿宋_GB2312" w:hint="eastAsia"/>
          <w:sz w:val="32"/>
          <w:szCs w:val="32"/>
        </w:rPr>
        <w:t>3.落实执法检查责任。要按照谁检查、谁签字、谁负责的原则，逐项检查、确认、签字，确保检查项目无遗漏、问题隐患找准确。要列出问题清单，提出整改、处罚、停产、关闭等处置意见，并跟踪落实整改；属于重大事故隐患的，要立即责令企业停产整改，实施分级挂牌督办，销号管理。</w:t>
      </w:r>
    </w:p>
    <w:p w:rsidR="00573E28" w:rsidRDefault="00656635">
      <w:pPr>
        <w:shd w:val="clear" w:color="auto" w:fill="FFFFFF"/>
        <w:snapToGrid w:val="0"/>
        <w:spacing w:line="560" w:lineRule="exact"/>
        <w:ind w:firstLineChars="177" w:firstLine="569"/>
        <w:outlineLvl w:val="1"/>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（四）“回头看”阶段（2021年12月）</w:t>
      </w:r>
    </w:p>
    <w:p w:rsidR="00573E28" w:rsidRDefault="00656635">
      <w:pPr>
        <w:shd w:val="clear" w:color="auto" w:fill="FFFFFF"/>
        <w:snapToGrid w:val="0"/>
        <w:spacing w:line="560" w:lineRule="exact"/>
        <w:ind w:firstLineChars="177" w:firstLine="566"/>
        <w:rPr>
          <w:rFonts w:ascii="仿宋_GB2312" w:eastAsia="仿宋_GB2312"/>
          <w:sz w:val="32"/>
          <w:szCs w:val="32"/>
        </w:rPr>
      </w:pPr>
      <w:r>
        <w:rPr>
          <w:rFonts w:ascii="仿宋_GB2312" w:eastAsia="仿宋_GB2312" w:hint="eastAsia"/>
          <w:sz w:val="32"/>
          <w:szCs w:val="32"/>
        </w:rPr>
        <w:t>各企业每月要开展一次自查自纠“回头看”，确保事故隐患彻底整改。</w:t>
      </w:r>
      <w:r w:rsidR="00F9418A">
        <w:rPr>
          <w:rFonts w:ascii="仿宋_GB2312" w:eastAsia="仿宋_GB2312" w:hint="eastAsia"/>
          <w:sz w:val="32"/>
          <w:szCs w:val="32"/>
        </w:rPr>
        <w:t>各</w:t>
      </w:r>
      <w:r w:rsidR="00F9418A" w:rsidRPr="00656635">
        <w:rPr>
          <w:rFonts w:ascii="仿宋_GB2312" w:eastAsia="仿宋_GB2312" w:hAnsi="仿宋_GB2312" w:cs="仿宋_GB2312" w:hint="eastAsia"/>
          <w:sz w:val="32"/>
          <w:szCs w:val="32"/>
        </w:rPr>
        <w:t>园区、街道、镇</w:t>
      </w:r>
      <w:r>
        <w:rPr>
          <w:rFonts w:ascii="仿宋_GB2312" w:eastAsia="仿宋_GB2312" w:hint="eastAsia"/>
          <w:sz w:val="32"/>
          <w:szCs w:val="32"/>
        </w:rPr>
        <w:t>要对企业自查自纠和隐患整改等情况进行核查，确保关闭、停产、处罚等处置措施落实到位，挂牌督办的重大隐患全部整改销号。</w:t>
      </w:r>
      <w:r w:rsidR="00F9418A">
        <w:rPr>
          <w:rFonts w:ascii="仿宋_GB2312" w:eastAsia="仿宋_GB2312" w:hint="eastAsia"/>
          <w:sz w:val="32"/>
          <w:szCs w:val="32"/>
        </w:rPr>
        <w:t xml:space="preserve"> </w:t>
      </w:r>
    </w:p>
    <w:p w:rsidR="00573E28" w:rsidRDefault="00656635">
      <w:pPr>
        <w:shd w:val="clear" w:color="auto" w:fill="FFFFFF"/>
        <w:snapToGrid w:val="0"/>
        <w:spacing w:line="560" w:lineRule="exact"/>
        <w:ind w:firstLineChars="177" w:firstLine="569"/>
        <w:outlineLvl w:val="0"/>
        <w:rPr>
          <w:rFonts w:ascii="黑体" w:eastAsia="黑体" w:hAnsi="黑体"/>
          <w:b/>
          <w:bCs/>
          <w:sz w:val="32"/>
          <w:szCs w:val="32"/>
        </w:rPr>
      </w:pPr>
      <w:r>
        <w:rPr>
          <w:rFonts w:ascii="黑体" w:eastAsia="黑体" w:hAnsi="黑体" w:hint="eastAsia"/>
          <w:b/>
          <w:bCs/>
          <w:sz w:val="32"/>
          <w:szCs w:val="32"/>
        </w:rPr>
        <w:t>四、工作措施</w:t>
      </w:r>
    </w:p>
    <w:p w:rsidR="00573E28" w:rsidRDefault="00656635">
      <w:pPr>
        <w:shd w:val="clear" w:color="auto" w:fill="FFFFFF"/>
        <w:snapToGrid w:val="0"/>
        <w:spacing w:line="560" w:lineRule="exact"/>
        <w:ind w:firstLineChars="177" w:firstLine="569"/>
        <w:rPr>
          <w:rFonts w:ascii="仿宋_GB2312" w:eastAsia="仿宋_GB2312" w:hAnsi="仿宋_GB2312" w:cs="仿宋_GB2312"/>
          <w:sz w:val="32"/>
          <w:szCs w:val="32"/>
        </w:rPr>
      </w:pPr>
      <w:r>
        <w:rPr>
          <w:rFonts w:ascii="楷体_GB2312" w:eastAsia="楷体_GB2312" w:hAnsi="楷体_GB2312" w:cs="楷体_GB2312" w:hint="eastAsia"/>
          <w:b/>
          <w:bCs/>
          <w:sz w:val="32"/>
          <w:szCs w:val="32"/>
        </w:rPr>
        <w:t>（一）精心组织实施。</w:t>
      </w:r>
      <w:r>
        <w:rPr>
          <w:rFonts w:ascii="仿宋_GB2312" w:eastAsia="仿宋_GB2312" w:hAnsi="仿宋_GB2312" w:cs="仿宋_GB2312" w:hint="eastAsia"/>
          <w:sz w:val="32"/>
          <w:szCs w:val="32"/>
        </w:rPr>
        <w:t>要严格落实地方党政领导干部安全生产责任制规定，加强对集中整治工作的组织领导，突出问题和目标导向，摸清辖区内冶金等工贸企业的安全管理状况，制定针对性的措施，落实责任，确保集中整治实效。</w:t>
      </w:r>
    </w:p>
    <w:p w:rsidR="00573E28" w:rsidRDefault="00656635">
      <w:pPr>
        <w:shd w:val="clear" w:color="auto" w:fill="FFFFFF"/>
        <w:snapToGrid w:val="0"/>
        <w:spacing w:line="560" w:lineRule="exact"/>
        <w:ind w:firstLineChars="177" w:firstLine="569"/>
        <w:rPr>
          <w:rFonts w:ascii="仿宋_GB2312" w:eastAsia="仿宋_GB2312" w:hAnsi="仿宋_GB2312" w:cs="仿宋_GB2312"/>
          <w:sz w:val="32"/>
          <w:szCs w:val="32"/>
        </w:rPr>
      </w:pPr>
      <w:r>
        <w:rPr>
          <w:rFonts w:ascii="楷体_GB2312" w:eastAsia="楷体_GB2312" w:hAnsi="楷体_GB2312" w:cs="楷体_GB2312" w:hint="eastAsia"/>
          <w:b/>
          <w:bCs/>
          <w:sz w:val="32"/>
          <w:szCs w:val="32"/>
        </w:rPr>
        <w:t>（二）提高执法效能。</w:t>
      </w:r>
      <w:r>
        <w:rPr>
          <w:rFonts w:ascii="仿宋_GB2312" w:eastAsia="仿宋_GB2312" w:hAnsi="仿宋_GB2312" w:cs="仿宋_GB2312" w:hint="eastAsia"/>
          <w:sz w:val="32"/>
          <w:szCs w:val="32"/>
        </w:rPr>
        <w:t>要严格标准，规范程序，切实加大执法检查力度，严格按照《山东省应急管理厅 山东省高级人民法院 山东省人民检察院 山东省公安厅关于强化企业安全生产主体责任落实的意见》（鲁应急发〔2019〕75号）严厉查处企业</w:t>
      </w:r>
      <w:r>
        <w:rPr>
          <w:rFonts w:ascii="仿宋_GB2312" w:eastAsia="仿宋_GB2312" w:hAnsi="仿宋_GB2312" w:cs="仿宋_GB2312" w:hint="eastAsia"/>
          <w:sz w:val="32"/>
          <w:szCs w:val="32"/>
        </w:rPr>
        <w:lastRenderedPageBreak/>
        <w:t>违法违规行为，一经查实，要依法在自由裁量幅度内进行顶格处罚，公示执法处罚结果，并推送到“信用山东”平台；对纳入安全生产领域“黑名单”管理的失信单位实施联合惩戒。</w:t>
      </w:r>
    </w:p>
    <w:p w:rsidR="00573E28" w:rsidRDefault="00656635">
      <w:pPr>
        <w:shd w:val="clear" w:color="auto" w:fill="FFFFFF"/>
        <w:snapToGrid w:val="0"/>
        <w:spacing w:line="560" w:lineRule="exact"/>
        <w:ind w:firstLineChars="177" w:firstLine="569"/>
        <w:rPr>
          <w:rFonts w:ascii="仿宋_GB2312" w:eastAsia="仿宋_GB2312" w:hAnsi="仿宋_GB2312" w:cs="仿宋_GB2312"/>
          <w:sz w:val="32"/>
          <w:szCs w:val="32"/>
        </w:rPr>
      </w:pPr>
      <w:r>
        <w:rPr>
          <w:rFonts w:ascii="楷体_GB2312" w:eastAsia="楷体_GB2312" w:hAnsi="楷体_GB2312" w:cs="楷体_GB2312" w:hint="eastAsia"/>
          <w:b/>
          <w:bCs/>
          <w:sz w:val="32"/>
          <w:szCs w:val="32"/>
        </w:rPr>
        <w:t>（三）加强跟踪督导。</w:t>
      </w:r>
      <w:r>
        <w:rPr>
          <w:rFonts w:ascii="仿宋_GB2312" w:eastAsia="仿宋_GB2312" w:hAnsi="仿宋_GB2312" w:cs="仿宋_GB2312" w:hint="eastAsia"/>
          <w:sz w:val="32"/>
          <w:szCs w:val="32"/>
        </w:rPr>
        <w:t>要加强对集中整治的监督检查，定期督查梳理集中整治工作，加强研判分析和信息归集，及时发现并解决工作中的问题和不足，采取针对性措施予以解决，确保集中整治扎实推进，确保隐患</w:t>
      </w:r>
      <w:r>
        <w:rPr>
          <w:rFonts w:ascii="仿宋_GB2312" w:eastAsia="仿宋_GB2312" w:hAnsi="仿宋_GB2312" w:cs="仿宋_GB2312" w:hint="eastAsia"/>
          <w:bCs/>
          <w:sz w:val="32"/>
          <w:szCs w:val="32"/>
        </w:rPr>
        <w:t>全部整改到位。督促企业完善和落实安全生产责任和管理制度，着力构建安全自查自纠长效机制。</w:t>
      </w:r>
    </w:p>
    <w:p w:rsidR="00573E28" w:rsidRDefault="00656635">
      <w:pPr>
        <w:shd w:val="clear" w:color="auto" w:fill="FFFFFF"/>
        <w:snapToGrid w:val="0"/>
        <w:spacing w:line="560" w:lineRule="exact"/>
        <w:ind w:firstLineChars="200" w:firstLine="643"/>
        <w:jc w:val="left"/>
        <w:rPr>
          <w:rFonts w:ascii="仿宋_GB2312" w:eastAsia="仿宋_GB2312" w:hAnsi="仿宋_GB2312" w:cs="仿宋_GB2312"/>
          <w:sz w:val="32"/>
          <w:szCs w:val="32"/>
        </w:rPr>
      </w:pPr>
      <w:r>
        <w:rPr>
          <w:rFonts w:ascii="楷体_GB2312" w:eastAsia="楷体_GB2312" w:hAnsi="楷体_GB2312" w:cs="楷体_GB2312" w:hint="eastAsia"/>
          <w:b/>
          <w:bCs/>
          <w:sz w:val="32"/>
          <w:szCs w:val="32"/>
        </w:rPr>
        <w:t>（四）强化宣传引导。</w:t>
      </w:r>
      <w:r>
        <w:rPr>
          <w:rFonts w:ascii="仿宋_GB2312" w:eastAsia="仿宋_GB2312" w:hAnsi="仿宋_GB2312" w:cs="仿宋_GB2312" w:hint="eastAsia"/>
          <w:sz w:val="32"/>
          <w:szCs w:val="32"/>
        </w:rPr>
        <w:t>要充分借助主流新闻媒体，发挥舆论导向作用，加大集中整治行动宣传报道力度，</w:t>
      </w:r>
      <w:r>
        <w:rPr>
          <w:rFonts w:ascii="仿宋_GB2312" w:eastAsia="仿宋_GB2312" w:hAnsi="仿宋_GB2312" w:cs="仿宋_GB2312" w:hint="eastAsia"/>
          <w:sz w:val="32"/>
          <w:szCs w:val="32"/>
          <w:shd w:val="clear" w:color="auto" w:fill="FFFFFF"/>
        </w:rPr>
        <w:t>广泛宣传国家和省市安全生产法规和政策，</w:t>
      </w:r>
      <w:r>
        <w:rPr>
          <w:rFonts w:ascii="仿宋_GB2312" w:eastAsia="仿宋_GB2312" w:hAnsi="仿宋_GB2312" w:cs="仿宋_GB2312" w:hint="eastAsia"/>
          <w:sz w:val="32"/>
          <w:szCs w:val="32"/>
        </w:rPr>
        <w:t>及时曝光一批关闭、停产、处罚案例和重大隐患排查整改情况，为集中整治创造有利的舆论环境。</w:t>
      </w:r>
    </w:p>
    <w:p w:rsidR="00573E28" w:rsidRDefault="00656635">
      <w:pPr>
        <w:shd w:val="clear" w:color="auto" w:fill="FFFFFF"/>
        <w:snapToGrid w:val="0"/>
        <w:spacing w:line="560" w:lineRule="exact"/>
        <w:ind w:firstLineChars="200" w:firstLine="643"/>
        <w:jc w:val="left"/>
        <w:rPr>
          <w:rFonts w:ascii="仿宋_GB2312" w:eastAsia="仿宋_GB2312" w:hAnsi="仿宋_GB2312" w:cs="仿宋_GB2312"/>
          <w:sz w:val="32"/>
          <w:szCs w:val="32"/>
        </w:rPr>
      </w:pPr>
      <w:r>
        <w:rPr>
          <w:rFonts w:ascii="楷体_GB2312" w:eastAsia="楷体_GB2312" w:hAnsi="楷体_GB2312" w:cs="楷体_GB2312" w:hint="eastAsia"/>
          <w:b/>
          <w:bCs/>
          <w:sz w:val="32"/>
          <w:szCs w:val="32"/>
        </w:rPr>
        <w:t>（五）加强信息报送。</w:t>
      </w:r>
      <w:r>
        <w:rPr>
          <w:rFonts w:ascii="仿宋_GB2312" w:eastAsia="仿宋_GB2312" w:hAnsi="仿宋_GB2312" w:cs="仿宋_GB2312" w:hint="eastAsia"/>
          <w:sz w:val="32"/>
          <w:szCs w:val="32"/>
        </w:rPr>
        <w:t>要加强信息调度汇总工作，确保大排查快整治严执法专项行动各阶段工作有安排、有检查、有总结，按时上报进展情况。</w:t>
      </w:r>
    </w:p>
    <w:p w:rsidR="00573E28" w:rsidRDefault="00656635">
      <w:pPr>
        <w:shd w:val="clear" w:color="auto" w:fill="FFFFFF"/>
        <w:snapToGrid w:val="0"/>
        <w:spacing w:line="560" w:lineRule="exact"/>
        <w:ind w:firstLineChars="200" w:firstLine="640"/>
        <w:jc w:val="left"/>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请各</w:t>
      </w:r>
      <w:r w:rsidR="00F9418A" w:rsidRPr="00656635">
        <w:rPr>
          <w:rFonts w:ascii="仿宋_GB2312" w:eastAsia="仿宋_GB2312" w:hAnsi="仿宋_GB2312" w:cs="仿宋_GB2312" w:hint="eastAsia"/>
          <w:sz w:val="32"/>
          <w:szCs w:val="32"/>
        </w:rPr>
        <w:t>园区、街道、镇</w:t>
      </w:r>
      <w:r w:rsidR="008C7CC8">
        <w:rPr>
          <w:rFonts w:ascii="仿宋_GB2312" w:eastAsia="仿宋_GB2312" w:hAnsi="仿宋_GB2312" w:cs="仿宋_GB2312" w:hint="eastAsia"/>
          <w:sz w:val="32"/>
          <w:szCs w:val="32"/>
        </w:rPr>
        <w:t>和冶金有色、涉爆粉尘、有限空间作业重点领域</w:t>
      </w:r>
      <w:r w:rsidR="00F9418A">
        <w:rPr>
          <w:rFonts w:ascii="仿宋_GB2312" w:eastAsia="仿宋_GB2312" w:hAnsi="仿宋_GB2312" w:cs="仿宋_GB2312" w:hint="eastAsia"/>
          <w:sz w:val="32"/>
          <w:szCs w:val="32"/>
        </w:rPr>
        <w:t>企业</w:t>
      </w:r>
      <w:r>
        <w:rPr>
          <w:rFonts w:ascii="仿宋_GB2312" w:eastAsia="仿宋_GB2312" w:hAnsi="仿宋_GB2312" w:cs="仿宋_GB2312" w:hint="eastAsia"/>
          <w:sz w:val="32"/>
          <w:szCs w:val="32"/>
        </w:rPr>
        <w:t>于</w:t>
      </w:r>
      <w:r w:rsidR="00F9418A">
        <w:rPr>
          <w:rFonts w:ascii="仿宋_GB2312" w:eastAsia="仿宋_GB2312" w:hAnsi="仿宋_GB2312" w:cs="仿宋_GB2312"/>
          <w:sz w:val="32"/>
          <w:szCs w:val="32"/>
        </w:rPr>
        <w:t>2</w:t>
      </w:r>
      <w:r>
        <w:rPr>
          <w:rFonts w:ascii="仿宋_GB2312" w:eastAsia="仿宋_GB2312" w:hAnsi="仿宋_GB2312" w:cs="仿宋_GB2312" w:hint="eastAsia"/>
          <w:sz w:val="32"/>
          <w:szCs w:val="32"/>
        </w:rPr>
        <w:t>月</w:t>
      </w:r>
      <w:r w:rsidR="00F9418A">
        <w:rPr>
          <w:rFonts w:ascii="仿宋_GB2312" w:eastAsia="仿宋_GB2312" w:hAnsi="仿宋_GB2312" w:cs="仿宋_GB2312"/>
          <w:sz w:val="32"/>
          <w:szCs w:val="32"/>
        </w:rPr>
        <w:t>5</w:t>
      </w:r>
      <w:r>
        <w:rPr>
          <w:rFonts w:ascii="仿宋_GB2312" w:eastAsia="仿宋_GB2312" w:hAnsi="仿宋_GB2312" w:cs="仿宋_GB2312" w:hint="eastAsia"/>
          <w:sz w:val="32"/>
          <w:szCs w:val="32"/>
        </w:rPr>
        <w:t>日前将大排查快整治严执法专项行动实施方案报</w:t>
      </w:r>
      <w:r w:rsidR="008C7CC8">
        <w:rPr>
          <w:rFonts w:ascii="仿宋_GB2312" w:eastAsia="仿宋_GB2312" w:hAnsi="仿宋_GB2312" w:cs="仿宋_GB2312" w:hint="eastAsia"/>
          <w:sz w:val="32"/>
          <w:szCs w:val="32"/>
        </w:rPr>
        <w:t>高新区应急管理中心备查</w:t>
      </w:r>
      <w:r>
        <w:rPr>
          <w:rFonts w:ascii="仿宋_GB2312" w:eastAsia="仿宋_GB2312" w:hAnsi="仿宋_GB2312" w:cs="仿宋_GB2312" w:hint="eastAsia"/>
          <w:sz w:val="32"/>
          <w:szCs w:val="32"/>
        </w:rPr>
        <w:t>；</w:t>
      </w:r>
      <w:r w:rsidR="00137BD4">
        <w:rPr>
          <w:rFonts w:ascii="仿宋_GB2312" w:eastAsia="仿宋_GB2312" w:hAnsi="仿宋_GB2312" w:cs="仿宋_GB2312" w:hint="eastAsia"/>
          <w:sz w:val="32"/>
          <w:szCs w:val="32"/>
        </w:rPr>
        <w:t>每月2</w:t>
      </w:r>
      <w:r w:rsidR="00137BD4">
        <w:rPr>
          <w:rFonts w:ascii="仿宋_GB2312" w:eastAsia="仿宋_GB2312" w:hAnsi="仿宋_GB2312" w:cs="仿宋_GB2312"/>
          <w:sz w:val="32"/>
          <w:szCs w:val="32"/>
        </w:rPr>
        <w:t>0</w:t>
      </w:r>
      <w:r w:rsidR="00137BD4">
        <w:rPr>
          <w:rFonts w:ascii="仿宋_GB2312" w:eastAsia="仿宋_GB2312" w:hAnsi="仿宋_GB2312" w:cs="仿宋_GB2312" w:hint="eastAsia"/>
          <w:sz w:val="32"/>
          <w:szCs w:val="32"/>
        </w:rPr>
        <w:t>日前，重点领域企业将《冶金等工贸行业自查自改情况汇总表（附件1）》报高新区应急管理中心；</w:t>
      </w:r>
      <w:r>
        <w:rPr>
          <w:rFonts w:ascii="仿宋_GB2312" w:eastAsia="仿宋_GB2312" w:hAnsi="仿宋_GB2312" w:cs="仿宋_GB2312" w:hint="eastAsia"/>
          <w:sz w:val="32"/>
          <w:szCs w:val="32"/>
        </w:rPr>
        <w:t>每月2</w:t>
      </w:r>
      <w:r w:rsidR="008C7CC8">
        <w:rPr>
          <w:rFonts w:ascii="仿宋_GB2312" w:eastAsia="仿宋_GB2312" w:hAnsi="仿宋_GB2312" w:cs="仿宋_GB2312"/>
          <w:sz w:val="32"/>
          <w:szCs w:val="32"/>
        </w:rPr>
        <w:t>0</w:t>
      </w:r>
      <w:r>
        <w:rPr>
          <w:rFonts w:ascii="仿宋_GB2312" w:eastAsia="仿宋_GB2312" w:hAnsi="仿宋_GB2312" w:cs="仿宋_GB2312" w:hint="eastAsia"/>
          <w:sz w:val="32"/>
          <w:szCs w:val="32"/>
        </w:rPr>
        <w:t>日前，</w:t>
      </w:r>
      <w:r w:rsidR="008C7CC8">
        <w:rPr>
          <w:rFonts w:ascii="仿宋_GB2312" w:eastAsia="仿宋_GB2312" w:hAnsi="仿宋_GB2312" w:cs="仿宋_GB2312" w:hint="eastAsia"/>
          <w:sz w:val="32"/>
          <w:szCs w:val="32"/>
        </w:rPr>
        <w:t>各</w:t>
      </w:r>
      <w:r w:rsidR="008C7CC8" w:rsidRPr="00656635">
        <w:rPr>
          <w:rFonts w:ascii="仿宋_GB2312" w:eastAsia="仿宋_GB2312" w:hAnsi="仿宋_GB2312" w:cs="仿宋_GB2312" w:hint="eastAsia"/>
          <w:sz w:val="32"/>
          <w:szCs w:val="32"/>
        </w:rPr>
        <w:t>园区、街道、镇</w:t>
      </w:r>
      <w:r>
        <w:rPr>
          <w:rFonts w:ascii="仿宋_GB2312" w:eastAsia="仿宋_GB2312" w:hAnsi="仿宋_GB2312" w:cs="仿宋_GB2312" w:hint="eastAsia"/>
          <w:sz w:val="32"/>
          <w:szCs w:val="32"/>
        </w:rPr>
        <w:t>将</w:t>
      </w:r>
      <w:r w:rsidR="00137BD4">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冶金等工贸行业大排查快整治严执法专项行动执法检查情况汇总表（附件2）</w:t>
      </w:r>
      <w:r w:rsidR="00137BD4">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报</w:t>
      </w:r>
      <w:r w:rsidR="00137BD4">
        <w:rPr>
          <w:rFonts w:ascii="仿宋_GB2312" w:eastAsia="仿宋_GB2312" w:hAnsi="仿宋_GB2312" w:cs="仿宋_GB2312" w:hint="eastAsia"/>
          <w:sz w:val="32"/>
          <w:szCs w:val="32"/>
        </w:rPr>
        <w:t>高新区应急管理中心</w:t>
      </w:r>
      <w:r>
        <w:rPr>
          <w:rFonts w:ascii="仿宋_GB2312" w:eastAsia="仿宋_GB2312" w:hAnsi="仿宋_GB2312" w:cs="仿宋_GB2312" w:hint="eastAsia"/>
          <w:sz w:val="32"/>
          <w:szCs w:val="32"/>
        </w:rPr>
        <w:t>；6月底、12月底前</w:t>
      </w:r>
      <w:r w:rsidR="00137BD4">
        <w:rPr>
          <w:rFonts w:ascii="仿宋_GB2312" w:eastAsia="仿宋_GB2312" w:hAnsi="仿宋_GB2312" w:cs="仿宋_GB2312" w:hint="eastAsia"/>
          <w:sz w:val="32"/>
          <w:szCs w:val="32"/>
        </w:rPr>
        <w:t>各</w:t>
      </w:r>
      <w:r w:rsidR="00137BD4" w:rsidRPr="00656635">
        <w:rPr>
          <w:rFonts w:ascii="仿宋_GB2312" w:eastAsia="仿宋_GB2312" w:hAnsi="仿宋_GB2312" w:cs="仿宋_GB2312" w:hint="eastAsia"/>
          <w:sz w:val="32"/>
          <w:szCs w:val="32"/>
        </w:rPr>
        <w:t>园区、街道、</w:t>
      </w:r>
      <w:r w:rsidR="00137BD4" w:rsidRPr="00656635">
        <w:rPr>
          <w:rFonts w:ascii="仿宋_GB2312" w:eastAsia="仿宋_GB2312" w:hAnsi="仿宋_GB2312" w:cs="仿宋_GB2312" w:hint="eastAsia"/>
          <w:sz w:val="32"/>
          <w:szCs w:val="32"/>
        </w:rPr>
        <w:lastRenderedPageBreak/>
        <w:t>镇</w:t>
      </w:r>
      <w:r w:rsidR="00137BD4">
        <w:rPr>
          <w:rFonts w:ascii="仿宋_GB2312" w:eastAsia="仿宋_GB2312" w:hAnsi="仿宋_GB2312" w:cs="仿宋_GB2312" w:hint="eastAsia"/>
          <w:sz w:val="32"/>
          <w:szCs w:val="32"/>
        </w:rPr>
        <w:t>和重点领域企业</w:t>
      </w:r>
      <w:r>
        <w:rPr>
          <w:rFonts w:ascii="仿宋_GB2312" w:eastAsia="仿宋_GB2312" w:hAnsi="仿宋_GB2312" w:cs="仿宋_GB2312" w:hint="eastAsia"/>
          <w:sz w:val="32"/>
          <w:szCs w:val="32"/>
        </w:rPr>
        <w:t>将专项行动总结材料报市应急局。</w:t>
      </w:r>
      <w:r w:rsidR="008C7CC8">
        <w:rPr>
          <w:rFonts w:ascii="仿宋_GB2312" w:eastAsia="仿宋_GB2312" w:hAnsi="仿宋_GB2312" w:cs="仿宋_GB2312" w:hint="eastAsia"/>
          <w:sz w:val="32"/>
          <w:szCs w:val="32"/>
        </w:rPr>
        <w:t xml:space="preserve"> </w:t>
      </w:r>
    </w:p>
    <w:p w:rsidR="00573E28" w:rsidRDefault="00656635">
      <w:pPr>
        <w:shd w:val="clear" w:color="auto" w:fill="FFFFFF"/>
        <w:snapToGrid w:val="0"/>
        <w:spacing w:line="56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邮箱：</w:t>
      </w:r>
      <w:hyperlink r:id="rId8" w:history="1">
        <w:r w:rsidR="00137BD4" w:rsidRPr="00893B3D">
          <w:rPr>
            <w:rStyle w:val="ab"/>
            <w:rFonts w:ascii="Times New Roman" w:hAnsi="Times New Roman" w:cs="Times New Roman"/>
            <w:lang w:val="en-US"/>
          </w:rPr>
          <w:t>zbgxqajjjgk@zb.shandong.cn</w:t>
        </w:r>
      </w:hyperlink>
      <w:r>
        <w:rPr>
          <w:rFonts w:ascii="仿宋_GB2312" w:eastAsia="仿宋_GB2312" w:hAnsi="仿宋_GB2312" w:cs="仿宋_GB2312" w:hint="eastAsia"/>
          <w:sz w:val="32"/>
          <w:szCs w:val="32"/>
        </w:rPr>
        <w:t>。</w:t>
      </w:r>
    </w:p>
    <w:p w:rsidR="00573E28" w:rsidRDefault="00573E28">
      <w:pPr>
        <w:shd w:val="clear" w:color="auto" w:fill="FFFFFF"/>
        <w:snapToGrid w:val="0"/>
        <w:spacing w:line="560" w:lineRule="exact"/>
        <w:ind w:firstLineChars="200" w:firstLine="640"/>
        <w:jc w:val="left"/>
        <w:outlineLvl w:val="0"/>
        <w:rPr>
          <w:rFonts w:ascii="仿宋_GB2312" w:eastAsia="仿宋_GB2312" w:hAnsi="仿宋_GB2312" w:cs="仿宋_GB2312"/>
          <w:sz w:val="32"/>
          <w:szCs w:val="32"/>
        </w:rPr>
      </w:pPr>
    </w:p>
    <w:p w:rsidR="00573E28" w:rsidRDefault="00656635">
      <w:pPr>
        <w:shd w:val="clear" w:color="auto" w:fill="FFFFFF"/>
        <w:snapToGrid w:val="0"/>
        <w:spacing w:line="560" w:lineRule="exact"/>
        <w:ind w:firstLineChars="200" w:firstLine="640"/>
        <w:jc w:val="left"/>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附件：1.冶金等工贸行业自查自改情况汇总表</w:t>
      </w:r>
    </w:p>
    <w:p w:rsidR="00573E28" w:rsidRDefault="00656635">
      <w:pPr>
        <w:shd w:val="clear" w:color="auto" w:fill="FFFFFF"/>
        <w:snapToGrid w:val="0"/>
        <w:spacing w:line="560" w:lineRule="exact"/>
        <w:ind w:leftChars="760" w:left="1916" w:hangingChars="100" w:hanging="320"/>
        <w:jc w:val="left"/>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2.冶金等工贸行业大排查快整治严执法专项行动执法检查情况汇总表</w:t>
      </w:r>
    </w:p>
    <w:p w:rsidR="00573E28" w:rsidRDefault="00656635">
      <w:pPr>
        <w:pStyle w:val="2"/>
        <w:spacing w:after="0" w:line="560" w:lineRule="exact"/>
        <w:ind w:leftChars="760" w:left="1916" w:hangingChars="100" w:hanging="320"/>
        <w:rPr>
          <w:rFonts w:ascii="仿宋_GB2312" w:eastAsia="仿宋_GB2312" w:hAnsi="仿宋_GB2312" w:cs="仿宋_GB2312"/>
          <w:sz w:val="32"/>
          <w:szCs w:val="32"/>
        </w:rPr>
      </w:pPr>
      <w:r>
        <w:rPr>
          <w:rFonts w:ascii="仿宋_GB2312" w:eastAsia="仿宋_GB2312" w:hAnsi="仿宋_GB2312" w:cs="仿宋_GB2312" w:hint="eastAsia"/>
          <w:sz w:val="32"/>
          <w:szCs w:val="32"/>
        </w:rPr>
        <w:t>3.冶金等工贸行业大排查快整治严执法专项行动检查表</w:t>
      </w:r>
    </w:p>
    <w:p w:rsidR="00573E28" w:rsidRDefault="00573E28">
      <w:pPr>
        <w:pStyle w:val="2"/>
      </w:pPr>
    </w:p>
    <w:p w:rsidR="00573E28" w:rsidRDefault="00573E28">
      <w:pPr>
        <w:pStyle w:val="2"/>
        <w:ind w:leftChars="400" w:left="840" w:firstLineChars="0" w:firstLine="0"/>
      </w:pPr>
    </w:p>
    <w:p w:rsidR="00573E28" w:rsidRDefault="00573E28">
      <w:pPr>
        <w:pStyle w:val="2"/>
        <w:wordWrap w:val="0"/>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137BD4" w:rsidRDefault="00137BD4" w:rsidP="00137BD4">
      <w:pPr>
        <w:pStyle w:val="2"/>
        <w:snapToGrid w:val="0"/>
        <w:spacing w:after="0" w:line="560" w:lineRule="exact"/>
        <w:ind w:leftChars="0" w:left="0" w:firstLine="640"/>
        <w:jc w:val="right"/>
        <w:rPr>
          <w:rFonts w:ascii="仿宋_GB2312" w:eastAsia="仿宋_GB2312"/>
          <w:sz w:val="32"/>
          <w:szCs w:val="32"/>
        </w:rPr>
      </w:pPr>
    </w:p>
    <w:p w:rsidR="00573E28" w:rsidRDefault="00573E28">
      <w:pPr>
        <w:pStyle w:val="2"/>
        <w:wordWrap w:val="0"/>
        <w:snapToGrid w:val="0"/>
        <w:spacing w:after="0" w:line="560" w:lineRule="exact"/>
        <w:ind w:leftChars="0" w:left="0" w:firstLine="640"/>
        <w:jc w:val="right"/>
        <w:rPr>
          <w:rFonts w:ascii="仿宋_GB2312" w:eastAsia="仿宋_GB2312"/>
          <w:sz w:val="32"/>
          <w:szCs w:val="32"/>
        </w:rPr>
      </w:pPr>
    </w:p>
    <w:p w:rsidR="00573E28" w:rsidRDefault="00656635">
      <w:pPr>
        <w:spacing w:line="600" w:lineRule="exact"/>
        <w:jc w:val="left"/>
        <w:rPr>
          <w:rFonts w:ascii="方正小标宋简体" w:eastAsia="方正小标宋简体" w:hAnsi="方正小标宋简体" w:cs="方正小标宋简体"/>
          <w:bCs/>
          <w:sz w:val="32"/>
          <w:szCs w:val="32"/>
        </w:rPr>
      </w:pPr>
      <w:r>
        <w:rPr>
          <w:rFonts w:ascii="黑体" w:eastAsia="黑体" w:hAnsi="黑体" w:cs="黑体" w:hint="eastAsia"/>
          <w:bCs/>
          <w:sz w:val="32"/>
          <w:szCs w:val="32"/>
        </w:rPr>
        <w:lastRenderedPageBreak/>
        <w:t>附件1</w:t>
      </w:r>
      <w:r>
        <w:rPr>
          <w:rFonts w:ascii="方正小标宋简体" w:eastAsia="方正小标宋简体" w:hAnsi="方正小标宋简体" w:cs="方正小标宋简体" w:hint="eastAsia"/>
          <w:bCs/>
          <w:sz w:val="32"/>
          <w:szCs w:val="32"/>
        </w:rPr>
        <w:t xml:space="preserve"> </w:t>
      </w:r>
    </w:p>
    <w:p w:rsidR="00573E28" w:rsidRDefault="00573E28">
      <w:pPr>
        <w:spacing w:line="600" w:lineRule="exact"/>
        <w:jc w:val="center"/>
        <w:rPr>
          <w:rFonts w:ascii="方正小标宋简体" w:eastAsia="方正小标宋简体" w:hAnsi="方正小标宋简体" w:cs="方正小标宋简体"/>
          <w:bCs/>
          <w:sz w:val="44"/>
          <w:szCs w:val="44"/>
        </w:rPr>
      </w:pPr>
    </w:p>
    <w:p w:rsidR="00573E28" w:rsidRDefault="00656635">
      <w:pPr>
        <w:spacing w:line="600" w:lineRule="exact"/>
        <w:jc w:val="center"/>
        <w:rPr>
          <w:rFonts w:ascii="方正小标宋简体" w:eastAsia="方正小标宋简体" w:hAnsi="方正小标宋简体" w:cs="方正小标宋简体"/>
          <w:b/>
          <w:color w:val="000000"/>
          <w:kern w:val="0"/>
          <w:sz w:val="44"/>
          <w:szCs w:val="44"/>
        </w:rPr>
      </w:pPr>
      <w:r>
        <w:rPr>
          <w:rFonts w:ascii="方正小标宋简体" w:eastAsia="方正小标宋简体" w:hAnsi="方正小标宋简体" w:cs="方正小标宋简体" w:hint="eastAsia"/>
          <w:bCs/>
          <w:sz w:val="44"/>
          <w:szCs w:val="44"/>
        </w:rPr>
        <w:t>冶金等工贸行业</w:t>
      </w:r>
      <w:r>
        <w:rPr>
          <w:rFonts w:ascii="方正小标宋简体" w:eastAsia="方正小标宋简体" w:hAnsi="方正小标宋简体" w:cs="方正小标宋简体" w:hint="eastAsia"/>
          <w:b/>
          <w:color w:val="000000"/>
          <w:kern w:val="0"/>
          <w:sz w:val="44"/>
          <w:szCs w:val="44"/>
        </w:rPr>
        <w:t>自查自改情况汇总表</w:t>
      </w:r>
    </w:p>
    <w:p w:rsidR="00573E28" w:rsidRDefault="00573E28">
      <w:pPr>
        <w:spacing w:line="600" w:lineRule="exact"/>
        <w:jc w:val="center"/>
        <w:rPr>
          <w:rFonts w:ascii="华文中宋" w:eastAsia="华文中宋" w:hAnsi="华文中宋" w:cs="宋体"/>
          <w:b/>
          <w:color w:val="000000"/>
          <w:kern w:val="0"/>
          <w:sz w:val="40"/>
          <w:szCs w:val="40"/>
        </w:rPr>
      </w:pPr>
    </w:p>
    <w:p w:rsidR="00573E28" w:rsidRDefault="00656635">
      <w:pPr>
        <w:spacing w:line="600" w:lineRule="exact"/>
        <w:ind w:firstLineChars="200" w:firstLine="560"/>
        <w:jc w:val="left"/>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企业：                   截至日期：  年   月  日</w:t>
      </w:r>
    </w:p>
    <w:tbl>
      <w:tblPr>
        <w:tblStyle w:val="af9"/>
        <w:tblW w:w="0" w:type="auto"/>
        <w:jc w:val="center"/>
        <w:tblLayout w:type="fixed"/>
        <w:tblLook w:val="04A0" w:firstRow="1" w:lastRow="0" w:firstColumn="1" w:lastColumn="0" w:noHBand="0" w:noVBand="1"/>
      </w:tblPr>
      <w:tblGrid>
        <w:gridCol w:w="946"/>
        <w:gridCol w:w="914"/>
        <w:gridCol w:w="1150"/>
        <w:gridCol w:w="1036"/>
        <w:gridCol w:w="1432"/>
        <w:gridCol w:w="1255"/>
        <w:gridCol w:w="1554"/>
      </w:tblGrid>
      <w:tr w:rsidR="00573E28">
        <w:trPr>
          <w:jc w:val="center"/>
        </w:trPr>
        <w:tc>
          <w:tcPr>
            <w:tcW w:w="946" w:type="dxa"/>
            <w:vMerge w:val="restart"/>
            <w:vAlign w:val="center"/>
          </w:tcPr>
          <w:p w:rsidR="00573E28" w:rsidRDefault="00656635">
            <w:pPr>
              <w:widowControl/>
              <w:jc w:val="center"/>
              <w:textAlignment w:val="center"/>
              <w:rPr>
                <w:rFonts w:ascii="仿宋_GB2312" w:eastAsia="仿宋_GB2312" w:hAnsi="宋体" w:cs="宋体"/>
                <w:color w:val="000000"/>
                <w:kern w:val="0"/>
                <w:sz w:val="28"/>
                <w:szCs w:val="28"/>
              </w:rPr>
            </w:pPr>
            <w:r>
              <w:rPr>
                <w:rFonts w:ascii="宋体" w:eastAsia="宋体" w:hAnsi="宋体" w:cs="宋体" w:hint="eastAsia"/>
                <w:b/>
                <w:color w:val="000000"/>
                <w:kern w:val="0"/>
                <w:sz w:val="18"/>
                <w:szCs w:val="18"/>
                <w:lang w:bidi="ar"/>
              </w:rPr>
              <w:t>排查隐患总数</w:t>
            </w:r>
          </w:p>
        </w:tc>
        <w:tc>
          <w:tcPr>
            <w:tcW w:w="3096" w:type="dxa"/>
            <w:gridSpan w:val="3"/>
            <w:vAlign w:val="center"/>
          </w:tcPr>
          <w:p w:rsidR="00573E28" w:rsidRDefault="00656635">
            <w:pPr>
              <w:widowControl/>
              <w:jc w:val="center"/>
              <w:textAlignment w:val="center"/>
              <w:rPr>
                <w:rFonts w:ascii="仿宋_GB2312" w:eastAsia="仿宋_GB2312" w:hAnsi="宋体" w:cs="宋体"/>
                <w:color w:val="000000"/>
                <w:kern w:val="0"/>
                <w:sz w:val="28"/>
                <w:szCs w:val="28"/>
              </w:rPr>
            </w:pPr>
            <w:r>
              <w:rPr>
                <w:rFonts w:ascii="宋体" w:eastAsia="宋体" w:hAnsi="宋体" w:cs="宋体" w:hint="eastAsia"/>
                <w:b/>
                <w:color w:val="000000"/>
                <w:kern w:val="0"/>
                <w:sz w:val="18"/>
                <w:szCs w:val="18"/>
                <w:lang w:bidi="ar"/>
              </w:rPr>
              <w:t>一般隐患</w:t>
            </w:r>
          </w:p>
        </w:tc>
        <w:tc>
          <w:tcPr>
            <w:tcW w:w="4241" w:type="dxa"/>
            <w:gridSpan w:val="3"/>
            <w:vAlign w:val="center"/>
          </w:tcPr>
          <w:p w:rsidR="00573E28" w:rsidRDefault="00656635">
            <w:pPr>
              <w:widowControl/>
              <w:jc w:val="center"/>
              <w:textAlignment w:val="center"/>
              <w:rPr>
                <w:rFonts w:ascii="仿宋_GB2312" w:eastAsia="仿宋_GB2312" w:hAnsi="宋体" w:cs="宋体"/>
                <w:color w:val="000000"/>
                <w:kern w:val="0"/>
                <w:sz w:val="28"/>
                <w:szCs w:val="28"/>
              </w:rPr>
            </w:pPr>
            <w:r>
              <w:rPr>
                <w:rFonts w:ascii="宋体" w:eastAsia="宋体" w:hAnsi="宋体" w:cs="宋体" w:hint="eastAsia"/>
                <w:b/>
                <w:color w:val="000000"/>
                <w:kern w:val="0"/>
                <w:sz w:val="18"/>
                <w:szCs w:val="18"/>
                <w:lang w:bidi="ar"/>
              </w:rPr>
              <w:t>重大隐患</w:t>
            </w:r>
          </w:p>
        </w:tc>
      </w:tr>
      <w:tr w:rsidR="00573E28">
        <w:trPr>
          <w:jc w:val="center"/>
        </w:trPr>
        <w:tc>
          <w:tcPr>
            <w:tcW w:w="946" w:type="dxa"/>
            <w:vMerge/>
            <w:vAlign w:val="center"/>
          </w:tcPr>
          <w:p w:rsidR="00573E28" w:rsidRDefault="00573E28">
            <w:pPr>
              <w:jc w:val="center"/>
              <w:rPr>
                <w:rFonts w:ascii="仿宋_GB2312" w:eastAsia="仿宋_GB2312" w:hAnsi="宋体" w:cs="宋体"/>
                <w:color w:val="000000"/>
                <w:kern w:val="0"/>
                <w:sz w:val="28"/>
                <w:szCs w:val="28"/>
              </w:rPr>
            </w:pPr>
          </w:p>
        </w:tc>
        <w:tc>
          <w:tcPr>
            <w:tcW w:w="914" w:type="dxa"/>
            <w:vAlign w:val="center"/>
          </w:tcPr>
          <w:p w:rsidR="00573E28" w:rsidRDefault="00656635">
            <w:pPr>
              <w:widowControl/>
              <w:jc w:val="center"/>
              <w:textAlignment w:val="center"/>
              <w:rPr>
                <w:rFonts w:ascii="仿宋_GB2312" w:eastAsia="仿宋_GB2312" w:hAnsi="宋体" w:cs="宋体"/>
                <w:color w:val="000000"/>
                <w:kern w:val="0"/>
                <w:sz w:val="28"/>
                <w:szCs w:val="28"/>
              </w:rPr>
            </w:pPr>
            <w:r>
              <w:rPr>
                <w:rFonts w:ascii="SimSun-ExtB" w:eastAsia="SimSun-ExtB" w:hAnsi="SimSun-ExtB" w:cs="SimSun-ExtB" w:hint="eastAsia"/>
                <w:b/>
                <w:color w:val="000000"/>
                <w:kern w:val="0"/>
                <w:sz w:val="18"/>
                <w:szCs w:val="18"/>
                <w:lang w:bidi="ar"/>
              </w:rPr>
              <w:t>排查</w:t>
            </w:r>
          </w:p>
        </w:tc>
        <w:tc>
          <w:tcPr>
            <w:tcW w:w="1146" w:type="dxa"/>
            <w:vAlign w:val="center"/>
          </w:tcPr>
          <w:p w:rsidR="00573E28" w:rsidRDefault="00656635">
            <w:pPr>
              <w:widowControl/>
              <w:jc w:val="center"/>
              <w:textAlignment w:val="center"/>
            </w:pPr>
            <w:r>
              <w:rPr>
                <w:rFonts w:ascii="SimSun-ExtB" w:eastAsia="SimSun-ExtB" w:hAnsi="SimSun-ExtB" w:cs="SimSun-ExtB" w:hint="eastAsia"/>
                <w:b/>
                <w:color w:val="000000"/>
                <w:kern w:val="0"/>
                <w:sz w:val="18"/>
                <w:szCs w:val="18"/>
                <w:lang w:bidi="ar"/>
              </w:rPr>
              <w:t>已整改</w:t>
            </w:r>
          </w:p>
        </w:tc>
        <w:tc>
          <w:tcPr>
            <w:tcW w:w="1036" w:type="dxa"/>
            <w:vAlign w:val="center"/>
          </w:tcPr>
          <w:p w:rsidR="00573E28" w:rsidRDefault="00656635">
            <w:pPr>
              <w:widowControl/>
              <w:jc w:val="center"/>
              <w:textAlignment w:val="center"/>
            </w:pPr>
            <w:r>
              <w:rPr>
                <w:rFonts w:ascii="SimSun-ExtB" w:eastAsia="SimSun-ExtB" w:hAnsi="SimSun-ExtB" w:cs="SimSun-ExtB" w:hint="eastAsia"/>
                <w:b/>
                <w:color w:val="000000"/>
                <w:kern w:val="0"/>
                <w:sz w:val="18"/>
                <w:szCs w:val="18"/>
                <w:lang w:bidi="ar"/>
              </w:rPr>
              <w:t>整改率</w:t>
            </w:r>
          </w:p>
        </w:tc>
        <w:tc>
          <w:tcPr>
            <w:tcW w:w="1432" w:type="dxa"/>
            <w:vAlign w:val="center"/>
          </w:tcPr>
          <w:p w:rsidR="00573E28" w:rsidRDefault="00656635">
            <w:pPr>
              <w:widowControl/>
              <w:jc w:val="center"/>
              <w:textAlignment w:val="center"/>
              <w:rPr>
                <w:rFonts w:ascii="仿宋_GB2312" w:eastAsia="仿宋_GB2312" w:hAnsi="宋体" w:cs="宋体"/>
                <w:color w:val="000000"/>
                <w:kern w:val="0"/>
                <w:sz w:val="28"/>
                <w:szCs w:val="28"/>
              </w:rPr>
            </w:pPr>
            <w:r>
              <w:rPr>
                <w:rFonts w:ascii="SimSun-ExtB" w:eastAsia="SimSun-ExtB" w:hAnsi="SimSun-ExtB" w:cs="SimSun-ExtB" w:hint="eastAsia"/>
                <w:b/>
                <w:color w:val="000000"/>
                <w:kern w:val="0"/>
                <w:sz w:val="18"/>
                <w:szCs w:val="18"/>
                <w:lang w:bidi="ar"/>
              </w:rPr>
              <w:t>排查</w:t>
            </w:r>
          </w:p>
        </w:tc>
        <w:tc>
          <w:tcPr>
            <w:tcW w:w="1255" w:type="dxa"/>
            <w:vAlign w:val="center"/>
          </w:tcPr>
          <w:p w:rsidR="00573E28" w:rsidRDefault="00656635">
            <w:pPr>
              <w:widowControl/>
              <w:jc w:val="center"/>
              <w:textAlignment w:val="center"/>
            </w:pPr>
            <w:r>
              <w:rPr>
                <w:rFonts w:ascii="SimSun-ExtB" w:eastAsia="SimSun-ExtB" w:hAnsi="SimSun-ExtB" w:cs="SimSun-ExtB" w:hint="eastAsia"/>
                <w:b/>
                <w:color w:val="000000"/>
                <w:kern w:val="0"/>
                <w:sz w:val="18"/>
                <w:szCs w:val="18"/>
                <w:lang w:bidi="ar"/>
              </w:rPr>
              <w:t>已整改</w:t>
            </w:r>
          </w:p>
        </w:tc>
        <w:tc>
          <w:tcPr>
            <w:tcW w:w="1554" w:type="dxa"/>
            <w:vAlign w:val="center"/>
          </w:tcPr>
          <w:p w:rsidR="00573E28" w:rsidRDefault="00656635">
            <w:pPr>
              <w:widowControl/>
              <w:jc w:val="center"/>
              <w:textAlignment w:val="center"/>
            </w:pPr>
            <w:r>
              <w:rPr>
                <w:rFonts w:ascii="SimSun-ExtB" w:eastAsia="SimSun-ExtB" w:hAnsi="SimSun-ExtB" w:cs="SimSun-ExtB" w:hint="eastAsia"/>
                <w:b/>
                <w:color w:val="000000"/>
                <w:kern w:val="0"/>
                <w:sz w:val="18"/>
                <w:szCs w:val="18"/>
                <w:lang w:bidi="ar"/>
              </w:rPr>
              <w:t>整改率</w:t>
            </w:r>
          </w:p>
        </w:tc>
      </w:tr>
      <w:tr w:rsidR="00573E28">
        <w:trPr>
          <w:jc w:val="center"/>
        </w:trPr>
        <w:tc>
          <w:tcPr>
            <w:tcW w:w="946" w:type="dxa"/>
          </w:tcPr>
          <w:p w:rsidR="00573E28" w:rsidRDefault="00573E28">
            <w:pPr>
              <w:spacing w:line="600" w:lineRule="exact"/>
              <w:jc w:val="left"/>
              <w:rPr>
                <w:rFonts w:ascii="仿宋_GB2312" w:eastAsia="仿宋_GB2312" w:hAnsi="宋体" w:cs="宋体"/>
                <w:color w:val="000000"/>
                <w:kern w:val="0"/>
                <w:sz w:val="28"/>
                <w:szCs w:val="28"/>
              </w:rPr>
            </w:pPr>
          </w:p>
        </w:tc>
        <w:tc>
          <w:tcPr>
            <w:tcW w:w="914" w:type="dxa"/>
          </w:tcPr>
          <w:p w:rsidR="00573E28" w:rsidRDefault="00573E28">
            <w:pPr>
              <w:spacing w:line="600" w:lineRule="exact"/>
              <w:jc w:val="left"/>
              <w:rPr>
                <w:rFonts w:ascii="仿宋_GB2312" w:eastAsia="仿宋_GB2312" w:hAnsi="宋体" w:cs="宋体"/>
                <w:color w:val="000000"/>
                <w:kern w:val="0"/>
                <w:sz w:val="28"/>
                <w:szCs w:val="28"/>
              </w:rPr>
            </w:pPr>
          </w:p>
        </w:tc>
        <w:tc>
          <w:tcPr>
            <w:tcW w:w="1150" w:type="dxa"/>
          </w:tcPr>
          <w:p w:rsidR="00573E28" w:rsidRDefault="00573E28">
            <w:pPr>
              <w:spacing w:line="600" w:lineRule="exact"/>
              <w:jc w:val="left"/>
              <w:rPr>
                <w:rFonts w:ascii="仿宋_GB2312" w:eastAsia="仿宋_GB2312" w:hAnsi="宋体" w:cs="宋体"/>
                <w:color w:val="000000"/>
                <w:kern w:val="0"/>
                <w:sz w:val="28"/>
                <w:szCs w:val="28"/>
              </w:rPr>
            </w:pPr>
          </w:p>
        </w:tc>
        <w:tc>
          <w:tcPr>
            <w:tcW w:w="1032" w:type="dxa"/>
          </w:tcPr>
          <w:p w:rsidR="00573E28" w:rsidRDefault="00573E28">
            <w:pPr>
              <w:spacing w:line="600" w:lineRule="exact"/>
              <w:jc w:val="left"/>
              <w:rPr>
                <w:rFonts w:ascii="仿宋_GB2312" w:eastAsia="仿宋_GB2312" w:hAnsi="宋体" w:cs="宋体"/>
                <w:color w:val="000000"/>
                <w:kern w:val="0"/>
                <w:sz w:val="28"/>
                <w:szCs w:val="28"/>
              </w:rPr>
            </w:pPr>
          </w:p>
        </w:tc>
        <w:tc>
          <w:tcPr>
            <w:tcW w:w="1432" w:type="dxa"/>
          </w:tcPr>
          <w:p w:rsidR="00573E28" w:rsidRDefault="00573E28">
            <w:pPr>
              <w:spacing w:line="600" w:lineRule="exact"/>
              <w:jc w:val="left"/>
              <w:rPr>
                <w:rFonts w:ascii="仿宋_GB2312" w:eastAsia="仿宋_GB2312" w:hAnsi="宋体" w:cs="宋体"/>
                <w:color w:val="000000"/>
                <w:kern w:val="0"/>
                <w:sz w:val="28"/>
                <w:szCs w:val="28"/>
              </w:rPr>
            </w:pPr>
          </w:p>
        </w:tc>
        <w:tc>
          <w:tcPr>
            <w:tcW w:w="1255" w:type="dxa"/>
          </w:tcPr>
          <w:p w:rsidR="00573E28" w:rsidRDefault="00573E28">
            <w:pPr>
              <w:spacing w:line="600" w:lineRule="exact"/>
              <w:jc w:val="left"/>
              <w:rPr>
                <w:rFonts w:ascii="仿宋_GB2312" w:eastAsia="仿宋_GB2312" w:hAnsi="宋体" w:cs="宋体"/>
                <w:color w:val="000000"/>
                <w:kern w:val="0"/>
                <w:sz w:val="28"/>
                <w:szCs w:val="28"/>
              </w:rPr>
            </w:pPr>
          </w:p>
        </w:tc>
        <w:tc>
          <w:tcPr>
            <w:tcW w:w="1554" w:type="dxa"/>
          </w:tcPr>
          <w:p w:rsidR="00573E28" w:rsidRDefault="00573E28">
            <w:pPr>
              <w:spacing w:line="600" w:lineRule="exact"/>
              <w:jc w:val="left"/>
              <w:rPr>
                <w:rFonts w:ascii="仿宋_GB2312" w:eastAsia="仿宋_GB2312" w:hAnsi="宋体" w:cs="宋体"/>
                <w:color w:val="000000"/>
                <w:kern w:val="0"/>
                <w:sz w:val="28"/>
                <w:szCs w:val="28"/>
              </w:rPr>
            </w:pPr>
          </w:p>
        </w:tc>
      </w:tr>
    </w:tbl>
    <w:p w:rsidR="00573E28" w:rsidRDefault="00656635">
      <w:pPr>
        <w:spacing w:line="600" w:lineRule="exact"/>
        <w:ind w:firstLineChars="100" w:firstLine="280"/>
        <w:jc w:val="left"/>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填报人：                              联系电话：</w:t>
      </w:r>
    </w:p>
    <w:p w:rsidR="00573E28" w:rsidRDefault="00573E28">
      <w:pPr>
        <w:spacing w:line="600" w:lineRule="exact"/>
        <w:ind w:firstLineChars="100" w:firstLine="280"/>
        <w:jc w:val="left"/>
        <w:rPr>
          <w:rFonts w:ascii="仿宋_GB2312" w:eastAsia="仿宋_GB2312" w:hAnsi="宋体" w:cs="宋体"/>
          <w:color w:val="000000"/>
          <w:kern w:val="0"/>
          <w:sz w:val="28"/>
          <w:szCs w:val="28"/>
        </w:rPr>
      </w:pPr>
    </w:p>
    <w:p w:rsidR="00573E28" w:rsidRDefault="00656635">
      <w:pPr>
        <w:spacing w:line="600" w:lineRule="exact"/>
        <w:ind w:firstLineChars="100" w:firstLine="280"/>
        <w:jc w:val="left"/>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注：填报数据为累计数据。</w:t>
      </w:r>
    </w:p>
    <w:p w:rsidR="00573E28" w:rsidRDefault="00573E28">
      <w:pPr>
        <w:pStyle w:val="Default"/>
        <w:snapToGrid w:val="0"/>
        <w:spacing w:line="560" w:lineRule="exact"/>
        <w:ind w:firstLineChars="600" w:firstLine="1680"/>
        <w:outlineLvl w:val="0"/>
        <w:rPr>
          <w:rFonts w:ascii="楷体_GB2312" w:eastAsia="楷体_GB2312" w:hAnsi="楷体_GB2312" w:cs="楷体_GB2312" w:hint="default"/>
          <w:sz w:val="28"/>
          <w:szCs w:val="28"/>
        </w:rPr>
      </w:pPr>
    </w:p>
    <w:p w:rsidR="00573E28" w:rsidRDefault="00573E28">
      <w:pPr>
        <w:pStyle w:val="Default"/>
        <w:snapToGrid w:val="0"/>
        <w:spacing w:line="560" w:lineRule="exact"/>
        <w:ind w:firstLineChars="600" w:firstLine="1680"/>
        <w:outlineLvl w:val="0"/>
        <w:rPr>
          <w:rFonts w:ascii="楷体_GB2312" w:eastAsia="楷体_GB2312" w:hAnsi="楷体_GB2312" w:cs="楷体_GB2312" w:hint="default"/>
          <w:sz w:val="28"/>
          <w:szCs w:val="28"/>
        </w:rPr>
        <w:sectPr w:rsidR="00573E28">
          <w:footerReference w:type="default" r:id="rId9"/>
          <w:pgSz w:w="11906" w:h="16838"/>
          <w:pgMar w:top="2098" w:right="1474" w:bottom="1984" w:left="1587" w:header="851" w:footer="992" w:gutter="0"/>
          <w:pgNumType w:fmt="numberInDash"/>
          <w:cols w:space="0"/>
          <w:docGrid w:type="lines" w:linePitch="332"/>
        </w:sectPr>
      </w:pPr>
    </w:p>
    <w:p w:rsidR="00573E28" w:rsidRDefault="00656635">
      <w:pPr>
        <w:snapToGrid w:val="0"/>
        <w:spacing w:line="560" w:lineRule="exact"/>
        <w:outlineLvl w:val="0"/>
        <w:rPr>
          <w:rFonts w:ascii="方正小标宋简体" w:eastAsia="方正小标宋简体" w:hAnsi="方正小标宋简体" w:cs="方正小标宋简体"/>
          <w:bCs/>
          <w:sz w:val="32"/>
          <w:szCs w:val="32"/>
        </w:rPr>
      </w:pPr>
      <w:r>
        <w:rPr>
          <w:rFonts w:ascii="黑体" w:eastAsia="黑体" w:hAnsi="黑体" w:cs="黑体" w:hint="eastAsia"/>
          <w:bCs/>
          <w:sz w:val="32"/>
          <w:szCs w:val="32"/>
        </w:rPr>
        <w:lastRenderedPageBreak/>
        <w:t>附件2</w:t>
      </w:r>
      <w:r>
        <w:rPr>
          <w:rFonts w:ascii="方正小标宋简体" w:eastAsia="方正小标宋简体" w:hAnsi="方正小标宋简体" w:cs="方正小标宋简体" w:hint="eastAsia"/>
          <w:bCs/>
          <w:sz w:val="32"/>
          <w:szCs w:val="32"/>
        </w:rPr>
        <w:t xml:space="preserve">     </w:t>
      </w:r>
    </w:p>
    <w:tbl>
      <w:tblPr>
        <w:tblpPr w:leftFromText="180" w:rightFromText="180" w:vertAnchor="text" w:horzAnchor="page" w:tblpXSpec="center" w:tblpY="583"/>
        <w:tblOverlap w:val="never"/>
        <w:tblW w:w="15180" w:type="dxa"/>
        <w:jc w:val="center"/>
        <w:tblCellMar>
          <w:left w:w="0" w:type="dxa"/>
          <w:right w:w="0" w:type="dxa"/>
        </w:tblCellMar>
        <w:tblLook w:val="04A0" w:firstRow="1" w:lastRow="0" w:firstColumn="1" w:lastColumn="0" w:noHBand="0" w:noVBand="1"/>
      </w:tblPr>
      <w:tblGrid>
        <w:gridCol w:w="660"/>
        <w:gridCol w:w="660"/>
        <w:gridCol w:w="660"/>
        <w:gridCol w:w="660"/>
        <w:gridCol w:w="660"/>
        <w:gridCol w:w="660"/>
        <w:gridCol w:w="660"/>
        <w:gridCol w:w="660"/>
        <w:gridCol w:w="660"/>
        <w:gridCol w:w="660"/>
        <w:gridCol w:w="660"/>
        <w:gridCol w:w="660"/>
        <w:gridCol w:w="660"/>
        <w:gridCol w:w="660"/>
        <w:gridCol w:w="660"/>
        <w:gridCol w:w="660"/>
        <w:gridCol w:w="660"/>
        <w:gridCol w:w="660"/>
        <w:gridCol w:w="660"/>
        <w:gridCol w:w="660"/>
        <w:gridCol w:w="660"/>
        <w:gridCol w:w="660"/>
        <w:gridCol w:w="660"/>
      </w:tblGrid>
      <w:tr w:rsidR="00573E28">
        <w:trPr>
          <w:trHeight w:val="615"/>
          <w:jc w:val="center"/>
        </w:trPr>
        <w:tc>
          <w:tcPr>
            <w:tcW w:w="15180" w:type="dxa"/>
            <w:gridSpan w:val="23"/>
            <w:tcBorders>
              <w:top w:val="nil"/>
              <w:left w:val="nil"/>
              <w:bottom w:val="nil"/>
              <w:right w:val="nil"/>
            </w:tcBorders>
            <w:shd w:val="clear" w:color="auto" w:fill="auto"/>
            <w:noWrap/>
            <w:tcMar>
              <w:top w:w="15" w:type="dxa"/>
              <w:left w:w="15" w:type="dxa"/>
              <w:right w:w="15" w:type="dxa"/>
            </w:tcMar>
            <w:vAlign w:val="center"/>
          </w:tcPr>
          <w:p w:rsidR="00573E28" w:rsidRDefault="00656635">
            <w:pPr>
              <w:widowControl/>
              <w:jc w:val="center"/>
              <w:textAlignment w:val="center"/>
              <w:rPr>
                <w:rFonts w:ascii="华文中宋" w:eastAsia="华文中宋" w:hAnsi="华文中宋" w:cs="华文中宋"/>
                <w:b/>
                <w:color w:val="000000"/>
                <w:sz w:val="44"/>
                <w:szCs w:val="44"/>
              </w:rPr>
            </w:pPr>
            <w:r>
              <w:rPr>
                <w:rFonts w:ascii="方正小标宋简体" w:eastAsia="方正小标宋简体" w:hAnsi="方正小标宋简体" w:cs="方正小标宋简体" w:hint="eastAsia"/>
                <w:bCs/>
                <w:color w:val="000000"/>
                <w:kern w:val="0"/>
                <w:sz w:val="36"/>
                <w:szCs w:val="36"/>
                <w:lang w:bidi="ar"/>
              </w:rPr>
              <w:t>2021年   月</w:t>
            </w:r>
            <w:r>
              <w:rPr>
                <w:rFonts w:ascii="方正小标宋简体" w:eastAsia="方正小标宋简体" w:hAnsi="方正小标宋简体" w:cs="方正小标宋简体" w:hint="eastAsia"/>
                <w:bCs/>
                <w:sz w:val="36"/>
                <w:szCs w:val="36"/>
              </w:rPr>
              <w:t>冶金等工贸行业大排查快整治严执法专项行动执法检查情况汇总表</w:t>
            </w:r>
          </w:p>
        </w:tc>
      </w:tr>
      <w:tr w:rsidR="00573E28">
        <w:trPr>
          <w:trHeight w:val="285"/>
          <w:jc w:val="center"/>
        </w:trPr>
        <w:tc>
          <w:tcPr>
            <w:tcW w:w="0" w:type="auto"/>
            <w:gridSpan w:val="2"/>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22"/>
                <w:szCs w:val="22"/>
              </w:rPr>
            </w:pPr>
            <w:r>
              <w:rPr>
                <w:rFonts w:ascii="宋体" w:eastAsia="宋体" w:hAnsi="宋体" w:cs="宋体" w:hint="eastAsia"/>
                <w:b/>
                <w:color w:val="000000"/>
                <w:kern w:val="0"/>
                <w:sz w:val="22"/>
                <w:szCs w:val="22"/>
                <w:lang w:bidi="ar"/>
              </w:rPr>
              <w:t>填报区县：</w:t>
            </w: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4"/>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single" w:sz="4" w:space="0" w:color="000000"/>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4"/>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b/>
                <w:color w:val="000000"/>
                <w:sz w:val="22"/>
                <w:szCs w:val="22"/>
              </w:rPr>
            </w:pPr>
          </w:p>
        </w:tc>
        <w:tc>
          <w:tcPr>
            <w:tcW w:w="0" w:type="auto"/>
            <w:gridSpan w:val="5"/>
            <w:tcBorders>
              <w:top w:val="nil"/>
              <w:left w:val="nil"/>
              <w:bottom w:val="nil"/>
              <w:right w:val="nil"/>
            </w:tcBorders>
            <w:shd w:val="clear" w:color="auto" w:fill="auto"/>
            <w:noWrap/>
            <w:tcMar>
              <w:top w:w="15" w:type="dxa"/>
              <w:left w:w="15" w:type="dxa"/>
              <w:right w:w="15" w:type="dxa"/>
            </w:tcMar>
            <w:vAlign w:val="center"/>
          </w:tcPr>
          <w:p w:rsidR="00573E28" w:rsidRDefault="00573E28">
            <w:pPr>
              <w:jc w:val="left"/>
              <w:rPr>
                <w:rFonts w:ascii="宋体" w:eastAsia="宋体" w:hAnsi="宋体" w:cs="宋体"/>
                <w:color w:val="000000"/>
                <w:sz w:val="24"/>
              </w:rPr>
            </w:pPr>
          </w:p>
        </w:tc>
      </w:tr>
      <w:tr w:rsidR="00573E28">
        <w:trPr>
          <w:trHeight w:val="270"/>
          <w:jc w:val="center"/>
        </w:trPr>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专题专项</w:t>
            </w:r>
          </w:p>
        </w:tc>
        <w:tc>
          <w:tcPr>
            <w:tcW w:w="1980" w:type="dxa"/>
            <w:gridSpan w:val="3"/>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发现主要问题                                （党委政府及部门层面）</w:t>
            </w:r>
          </w:p>
        </w:tc>
        <w:tc>
          <w:tcPr>
            <w:tcW w:w="4620" w:type="dxa"/>
            <w:gridSpan w:val="7"/>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排查整治隐患（企业层面）</w:t>
            </w:r>
          </w:p>
        </w:tc>
        <w:tc>
          <w:tcPr>
            <w:tcW w:w="2640"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开展督导检查</w:t>
            </w:r>
          </w:p>
        </w:tc>
        <w:tc>
          <w:tcPr>
            <w:tcW w:w="396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执法处罚</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 xml:space="preserve">约谈      警示 </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 xml:space="preserve">联合     惩戒 </w:t>
            </w:r>
          </w:p>
        </w:tc>
      </w:tr>
      <w:tr w:rsidR="00573E28">
        <w:trPr>
          <w:trHeight w:val="270"/>
          <w:jc w:val="center"/>
        </w:trPr>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1980" w:type="dxa"/>
            <w:gridSpan w:val="3"/>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排查隐患总数</w:t>
            </w:r>
          </w:p>
        </w:tc>
        <w:tc>
          <w:tcPr>
            <w:tcW w:w="198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一般隐患</w:t>
            </w:r>
          </w:p>
        </w:tc>
        <w:tc>
          <w:tcPr>
            <w:tcW w:w="1980"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重大隐患</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成立    检查组</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督导检查次数</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检查    单位</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督导     问题</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行政             处罚</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责令停产整顿</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暂扣吊销证照企业</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关闭    取缔</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罚款</w:t>
            </w:r>
          </w:p>
        </w:tc>
        <w:tc>
          <w:tcPr>
            <w:tcW w:w="660"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移送司法机关</w:t>
            </w: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SimSun-ExtB" w:eastAsia="SimSun-ExtB" w:hAnsi="SimSun-ExtB" w:cs="SimSun-ExtB"/>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SimSun-ExtB" w:eastAsia="SimSun-ExtB" w:hAnsi="SimSun-ExtB" w:cs="SimSun-ExtB"/>
                <w:b/>
                <w:color w:val="000000"/>
                <w:sz w:val="18"/>
                <w:szCs w:val="18"/>
              </w:rPr>
            </w:pPr>
          </w:p>
        </w:tc>
      </w:tr>
      <w:tr w:rsidR="00573E28">
        <w:trPr>
          <w:trHeight w:val="900"/>
          <w:jc w:val="center"/>
        </w:trPr>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小计</w:t>
            </w:r>
          </w:p>
        </w:tc>
        <w:tc>
          <w:tcPr>
            <w:tcW w:w="66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 xml:space="preserve">市级 </w:t>
            </w:r>
            <w:r>
              <w:rPr>
                <w:rStyle w:val="font41"/>
                <w:rFonts w:hint="default"/>
                <w:lang w:bidi="ar"/>
              </w:rPr>
              <w:t xml:space="preserve">    党委     政府     部门</w:t>
            </w:r>
          </w:p>
        </w:tc>
        <w:tc>
          <w:tcPr>
            <w:tcW w:w="660" w:type="dxa"/>
            <w:tcBorders>
              <w:top w:val="single" w:sz="4" w:space="0" w:color="000000"/>
              <w:left w:val="single" w:sz="4" w:space="0" w:color="000000"/>
              <w:bottom w:val="single" w:sz="4" w:space="0" w:color="000000"/>
              <w:right w:val="nil"/>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 xml:space="preserve">县级 </w:t>
            </w:r>
            <w:r>
              <w:rPr>
                <w:rStyle w:val="font41"/>
                <w:rFonts w:hint="default"/>
                <w:lang w:bidi="ar"/>
              </w:rPr>
              <w:t xml:space="preserve">   党委    政府    部门</w:t>
            </w: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排查</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已整改</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整改率</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排查</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已整改</w:t>
            </w: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SimSun-ExtB" w:eastAsia="SimSun-ExtB" w:hAnsi="SimSun-ExtB" w:cs="SimSun-ExtB"/>
                <w:b/>
                <w:color w:val="000000"/>
                <w:sz w:val="18"/>
                <w:szCs w:val="18"/>
              </w:rPr>
            </w:pPr>
            <w:r>
              <w:rPr>
                <w:rFonts w:ascii="SimSun-ExtB" w:eastAsia="SimSun-ExtB" w:hAnsi="SimSun-ExtB" w:cs="SimSun-ExtB" w:hint="eastAsia"/>
                <w:b/>
                <w:color w:val="000000"/>
                <w:kern w:val="0"/>
                <w:sz w:val="18"/>
                <w:szCs w:val="18"/>
                <w:lang w:bidi="ar"/>
              </w:rPr>
              <w:t>整改率</w:t>
            </w: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SimSun-ExtB" w:eastAsia="SimSun-ExtB" w:hAnsi="SimSun-ExtB" w:cs="SimSun-ExtB"/>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SimSun-ExtB" w:eastAsia="SimSun-ExtB" w:hAnsi="SimSun-ExtB" w:cs="SimSun-ExtB"/>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SimSun-ExtB" w:eastAsia="SimSun-ExtB" w:hAnsi="SimSun-ExtB" w:cs="SimSun-ExtB"/>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SimSun-ExtB" w:eastAsia="SimSun-ExtB" w:hAnsi="SimSun-ExtB" w:cs="SimSun-ExtB"/>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SimSun-ExtB" w:eastAsia="SimSun-ExtB" w:hAnsi="SimSun-ExtB" w:cs="SimSun-ExtB"/>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SimSun-ExtB" w:eastAsia="SimSun-ExtB" w:hAnsi="SimSun-ExtB" w:cs="SimSun-ExtB"/>
                <w:b/>
                <w:color w:val="000000"/>
                <w:sz w:val="18"/>
                <w:szCs w:val="18"/>
              </w:rPr>
            </w:pPr>
          </w:p>
        </w:tc>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SimSun-ExtB" w:eastAsia="SimSun-ExtB" w:hAnsi="SimSun-ExtB" w:cs="SimSun-ExtB"/>
                <w:b/>
                <w:color w:val="000000"/>
                <w:sz w:val="18"/>
                <w:szCs w:val="18"/>
              </w:rPr>
            </w:pPr>
          </w:p>
        </w:tc>
      </w:tr>
      <w:tr w:rsidR="00573E28">
        <w:trPr>
          <w:trHeight w:val="450"/>
          <w:jc w:val="center"/>
        </w:trPr>
        <w:tc>
          <w:tcPr>
            <w:tcW w:w="660"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b/>
                <w:color w:val="000000"/>
                <w:sz w:val="18"/>
                <w:szCs w:val="18"/>
              </w:rPr>
            </w:pP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(项)</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(项)</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(项)</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(处)</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(处)</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(处)</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w:t>
            </w:r>
            <w:r>
              <w:rPr>
                <w:rStyle w:val="font41"/>
                <w:rFonts w:hint="default"/>
                <w:lang w:bidi="ar"/>
              </w:rPr>
              <w:t>%)</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(处)</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(处)</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(个)</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(次)</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（家）</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(个)</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(次)</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(家)</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(家)</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（家）</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（万元）</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(人)</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(家)</w:t>
            </w:r>
          </w:p>
        </w:tc>
        <w:tc>
          <w:tcPr>
            <w:tcW w:w="66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center"/>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(家)</w:t>
            </w:r>
          </w:p>
        </w:tc>
      </w:tr>
      <w:tr w:rsidR="00573E28">
        <w:trPr>
          <w:trHeight w:val="740"/>
          <w:jc w:val="center"/>
        </w:trPr>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656635">
            <w:pPr>
              <w:widowControl/>
              <w:jc w:val="left"/>
              <w:textAlignment w:val="center"/>
              <w:rPr>
                <w:rFonts w:ascii="宋体" w:eastAsia="宋体" w:hAnsi="宋体" w:cs="宋体"/>
                <w:b/>
                <w:color w:val="000000"/>
                <w:sz w:val="18"/>
                <w:szCs w:val="18"/>
              </w:rPr>
            </w:pPr>
            <w:r>
              <w:rPr>
                <w:rFonts w:ascii="宋体" w:eastAsia="宋体" w:hAnsi="宋体" w:cs="宋体" w:hint="eastAsia"/>
                <w:b/>
                <w:color w:val="000000"/>
                <w:kern w:val="0"/>
                <w:sz w:val="18"/>
                <w:szCs w:val="18"/>
                <w:lang w:bidi="ar"/>
              </w:rPr>
              <w:t>工贸行业安全整治</w:t>
            </w: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c>
          <w:tcPr>
            <w:tcW w:w="66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573E28" w:rsidRDefault="00573E28">
            <w:pPr>
              <w:jc w:val="center"/>
              <w:rPr>
                <w:rFonts w:ascii="宋体" w:eastAsia="宋体" w:hAnsi="宋体" w:cs="宋体"/>
                <w:color w:val="000000"/>
                <w:sz w:val="20"/>
                <w:szCs w:val="20"/>
              </w:rPr>
            </w:pPr>
          </w:p>
        </w:tc>
      </w:tr>
      <w:tr w:rsidR="00573E28">
        <w:trPr>
          <w:trHeight w:val="270"/>
          <w:jc w:val="center"/>
        </w:trPr>
        <w:tc>
          <w:tcPr>
            <w:tcW w:w="0" w:type="auto"/>
            <w:gridSpan w:val="3"/>
            <w:tcBorders>
              <w:top w:val="nil"/>
              <w:left w:val="nil"/>
              <w:bottom w:val="nil"/>
              <w:right w:val="nil"/>
            </w:tcBorders>
            <w:shd w:val="clear" w:color="auto" w:fill="auto"/>
            <w:noWrap/>
            <w:tcMar>
              <w:top w:w="15" w:type="dxa"/>
              <w:left w:w="15" w:type="dxa"/>
              <w:right w:w="15" w:type="dxa"/>
            </w:tcMar>
            <w:vAlign w:val="center"/>
          </w:tcPr>
          <w:p w:rsidR="00573E28" w:rsidRDefault="00656635">
            <w:pPr>
              <w:widowControl/>
              <w:jc w:val="left"/>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填报人：</w:t>
            </w: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gridSpan w:val="4"/>
            <w:tcBorders>
              <w:top w:val="nil"/>
              <w:left w:val="nil"/>
              <w:bottom w:val="nil"/>
              <w:right w:val="nil"/>
            </w:tcBorders>
            <w:shd w:val="clear" w:color="auto" w:fill="auto"/>
            <w:noWrap/>
            <w:tcMar>
              <w:top w:w="15" w:type="dxa"/>
              <w:left w:w="15" w:type="dxa"/>
              <w:right w:w="15" w:type="dxa"/>
            </w:tcMar>
            <w:vAlign w:val="center"/>
          </w:tcPr>
          <w:p w:rsidR="00573E28" w:rsidRDefault="0065663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联系电话：</w:t>
            </w: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gridSpan w:val="3"/>
            <w:tcBorders>
              <w:top w:val="nil"/>
              <w:left w:val="nil"/>
              <w:bottom w:val="nil"/>
              <w:right w:val="nil"/>
            </w:tcBorders>
            <w:shd w:val="clear" w:color="auto" w:fill="auto"/>
            <w:noWrap/>
            <w:tcMar>
              <w:top w:w="15" w:type="dxa"/>
              <w:left w:w="15" w:type="dxa"/>
              <w:right w:w="15" w:type="dxa"/>
            </w:tcMar>
            <w:vAlign w:val="center"/>
          </w:tcPr>
          <w:p w:rsidR="00573E28" w:rsidRDefault="00656635">
            <w:pPr>
              <w:widowControl/>
              <w:jc w:val="center"/>
              <w:textAlignment w:val="center"/>
              <w:rPr>
                <w:rFonts w:ascii="宋体" w:eastAsia="宋体" w:hAnsi="宋体" w:cs="宋体"/>
                <w:color w:val="000000"/>
                <w:sz w:val="22"/>
                <w:szCs w:val="22"/>
              </w:rPr>
            </w:pPr>
            <w:r>
              <w:rPr>
                <w:rFonts w:ascii="宋体" w:eastAsia="宋体" w:hAnsi="宋体" w:cs="宋体" w:hint="eastAsia"/>
                <w:color w:val="000000"/>
                <w:kern w:val="0"/>
                <w:sz w:val="22"/>
                <w:szCs w:val="22"/>
                <w:lang w:bidi="ar"/>
              </w:rPr>
              <w:t>填报时间：</w:t>
            </w: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c>
          <w:tcPr>
            <w:tcW w:w="0" w:type="auto"/>
            <w:tcBorders>
              <w:top w:val="nil"/>
              <w:left w:val="nil"/>
              <w:bottom w:val="nil"/>
              <w:right w:val="nil"/>
            </w:tcBorders>
            <w:shd w:val="clear" w:color="auto" w:fill="auto"/>
            <w:noWrap/>
            <w:tcMar>
              <w:top w:w="15" w:type="dxa"/>
              <w:left w:w="15" w:type="dxa"/>
              <w:right w:w="15" w:type="dxa"/>
            </w:tcMar>
            <w:vAlign w:val="center"/>
          </w:tcPr>
          <w:p w:rsidR="00573E28" w:rsidRDefault="00573E28">
            <w:pPr>
              <w:rPr>
                <w:rFonts w:ascii="宋体" w:eastAsia="宋体" w:hAnsi="宋体" w:cs="宋体"/>
                <w:color w:val="000000"/>
                <w:sz w:val="22"/>
                <w:szCs w:val="22"/>
              </w:rPr>
            </w:pPr>
          </w:p>
        </w:tc>
      </w:tr>
    </w:tbl>
    <w:p w:rsidR="00573E28" w:rsidRDefault="00573E28">
      <w:pPr>
        <w:snapToGrid w:val="0"/>
        <w:spacing w:line="560" w:lineRule="exact"/>
        <w:jc w:val="center"/>
        <w:outlineLvl w:val="0"/>
        <w:rPr>
          <w:rFonts w:ascii="方正小标宋简体" w:eastAsia="方正小标宋简体" w:hAnsi="方正小标宋简体" w:cs="方正小标宋简体"/>
          <w:bCs/>
          <w:sz w:val="36"/>
          <w:szCs w:val="36"/>
        </w:rPr>
      </w:pPr>
    </w:p>
    <w:p w:rsidR="00573E28" w:rsidRDefault="00573E28">
      <w:pPr>
        <w:snapToGrid w:val="0"/>
        <w:spacing w:line="560" w:lineRule="exact"/>
        <w:jc w:val="center"/>
        <w:outlineLvl w:val="0"/>
        <w:rPr>
          <w:rFonts w:ascii="方正小标宋简体" w:eastAsia="方正小标宋简体" w:hAnsi="方正小标宋简体" w:cs="方正小标宋简体"/>
          <w:bCs/>
          <w:sz w:val="36"/>
          <w:szCs w:val="36"/>
        </w:rPr>
      </w:pPr>
    </w:p>
    <w:p w:rsidR="00573E28" w:rsidRDefault="00656635" w:rsidP="008B6FCD">
      <w:pPr>
        <w:spacing w:line="600" w:lineRule="exact"/>
        <w:ind w:firstLineChars="100" w:firstLine="280"/>
        <w:jc w:val="left"/>
        <w:rPr>
          <w:rFonts w:ascii="仿宋_GB2312" w:eastAsia="仿宋_GB2312" w:hAnsi="宋体" w:cs="宋体"/>
          <w:color w:val="000000"/>
          <w:kern w:val="0"/>
          <w:sz w:val="28"/>
          <w:szCs w:val="28"/>
        </w:rPr>
      </w:pPr>
      <w:r>
        <w:rPr>
          <w:rFonts w:ascii="仿宋_GB2312" w:eastAsia="仿宋_GB2312" w:hAnsi="宋体" w:cs="宋体" w:hint="eastAsia"/>
          <w:color w:val="000000"/>
          <w:kern w:val="0"/>
          <w:sz w:val="28"/>
          <w:szCs w:val="28"/>
        </w:rPr>
        <w:t>注：填报数据为累计数据。</w:t>
      </w:r>
    </w:p>
    <w:p w:rsidR="008B6FCD" w:rsidRDefault="008B6FCD" w:rsidP="008B6FCD">
      <w:pPr>
        <w:pStyle w:val="2"/>
      </w:pPr>
    </w:p>
    <w:p w:rsidR="008B6FCD" w:rsidRPr="008B6FCD" w:rsidRDefault="008B6FCD" w:rsidP="008B6FCD">
      <w:pPr>
        <w:pStyle w:val="2"/>
        <w:rPr>
          <w:rFonts w:hint="eastAsia"/>
        </w:rPr>
        <w:sectPr w:rsidR="008B6FCD" w:rsidRPr="008B6FCD">
          <w:headerReference w:type="default" r:id="rId10"/>
          <w:footerReference w:type="default" r:id="rId11"/>
          <w:pgSz w:w="16838" w:h="11906" w:orient="landscape"/>
          <w:pgMar w:top="1800" w:right="1440" w:bottom="1800" w:left="1440" w:header="851" w:footer="992" w:gutter="0"/>
          <w:pgNumType w:fmt="numberInDash"/>
          <w:cols w:space="425"/>
          <w:docGrid w:type="lines" w:linePitch="326"/>
        </w:sectPr>
      </w:pPr>
    </w:p>
    <w:p w:rsidR="008B6FCD" w:rsidRDefault="008B6FCD" w:rsidP="008B6FCD"/>
    <w:p w:rsidR="008B6FCD" w:rsidRDefault="008B6FCD" w:rsidP="008B6FCD">
      <w:pPr>
        <w:pStyle w:val="TOC1"/>
        <w:spacing w:before="0" w:line="560" w:lineRule="exact"/>
        <w:rPr>
          <w:rFonts w:ascii="黑体" w:eastAsia="黑体" w:hAnsi="黑体" w:cs="黑体"/>
          <w:b w:val="0"/>
          <w:color w:val="auto"/>
          <w:sz w:val="32"/>
          <w:szCs w:val="32"/>
          <w:lang w:val="en-US"/>
        </w:rPr>
      </w:pPr>
      <w:r>
        <w:rPr>
          <w:rFonts w:ascii="黑体" w:eastAsia="黑体" w:hAnsi="黑体" w:cs="黑体" w:hint="eastAsia"/>
          <w:b w:val="0"/>
          <w:color w:val="auto"/>
          <w:sz w:val="32"/>
          <w:szCs w:val="32"/>
          <w:lang w:val="en-US"/>
        </w:rPr>
        <w:t>附件3</w:t>
      </w:r>
    </w:p>
    <w:p w:rsidR="008B6FCD" w:rsidRDefault="008B6FCD" w:rsidP="008B6FCD"/>
    <w:p w:rsidR="008B6FCD" w:rsidRDefault="008B6FCD" w:rsidP="008B6FCD">
      <w:pPr>
        <w:pStyle w:val="TOC1"/>
        <w:spacing w:before="0" w:line="560" w:lineRule="exact"/>
        <w:jc w:val="center"/>
        <w:rPr>
          <w:rFonts w:ascii="方正小标宋简体" w:eastAsia="方正小标宋简体" w:hAnsi="方正小标宋简体" w:cs="方正小标宋简体"/>
          <w:b w:val="0"/>
          <w:color w:val="auto"/>
          <w:spacing w:val="-10"/>
          <w:sz w:val="44"/>
          <w:szCs w:val="44"/>
          <w:lang w:val="en-US"/>
        </w:rPr>
      </w:pPr>
      <w:r>
        <w:rPr>
          <w:rFonts w:ascii="方正小标宋简体" w:eastAsia="方正小标宋简体" w:hAnsi="方正小标宋简体" w:cs="方正小标宋简体" w:hint="eastAsia"/>
          <w:b w:val="0"/>
          <w:color w:val="auto"/>
          <w:spacing w:val="-10"/>
          <w:sz w:val="44"/>
          <w:szCs w:val="44"/>
          <w:lang w:val="en-US"/>
        </w:rPr>
        <w:t>冶金等工贸行业大排查快整治严执法</w:t>
      </w:r>
    </w:p>
    <w:p w:rsidR="008B6FCD" w:rsidRDefault="008B6FCD" w:rsidP="008B6FCD">
      <w:pPr>
        <w:pStyle w:val="TOC1"/>
        <w:spacing w:before="0" w:line="560" w:lineRule="exact"/>
        <w:jc w:val="center"/>
        <w:rPr>
          <w:rFonts w:ascii="方正小标宋简体" w:eastAsia="方正小标宋简体" w:hAnsi="方正小标宋简体" w:cs="方正小标宋简体"/>
          <w:b w:val="0"/>
          <w:color w:val="auto"/>
          <w:spacing w:val="-10"/>
          <w:sz w:val="44"/>
          <w:szCs w:val="44"/>
          <w:lang w:val="en-US"/>
        </w:rPr>
      </w:pPr>
      <w:r>
        <w:rPr>
          <w:rFonts w:ascii="方正小标宋简体" w:eastAsia="方正小标宋简体" w:hAnsi="方正小标宋简体" w:cs="方正小标宋简体" w:hint="eastAsia"/>
          <w:b w:val="0"/>
          <w:color w:val="auto"/>
          <w:spacing w:val="-10"/>
          <w:sz w:val="44"/>
          <w:szCs w:val="44"/>
          <w:lang w:val="en-US"/>
        </w:rPr>
        <w:t>专项行动检查表</w:t>
      </w:r>
    </w:p>
    <w:p w:rsidR="008B6FCD" w:rsidRDefault="008B6FCD" w:rsidP="008B6FCD"/>
    <w:p w:rsidR="008B6FCD" w:rsidRDefault="008B6FCD" w:rsidP="008B6FCD">
      <w:pPr>
        <w:pStyle w:val="22"/>
        <w:spacing w:line="560" w:lineRule="exact"/>
        <w:rPr>
          <w:szCs w:val="24"/>
        </w:rPr>
      </w:pPr>
      <w:r>
        <w:rPr>
          <w:rFonts w:hint="eastAsia"/>
          <w:szCs w:val="24"/>
        </w:rPr>
        <w:t>表</w:t>
      </w:r>
      <w:r>
        <w:rPr>
          <w:szCs w:val="24"/>
        </w:rPr>
        <w:t>1</w:t>
      </w:r>
      <w:r>
        <w:rPr>
          <w:rFonts w:hint="eastAsia"/>
          <w:szCs w:val="24"/>
        </w:rPr>
        <w:t>：</w:t>
      </w:r>
      <w:r>
        <w:rPr>
          <w:rFonts w:hint="eastAsia"/>
          <w:szCs w:val="24"/>
        </w:rPr>
        <w:t xml:space="preserve"> </w:t>
      </w:r>
      <w:r>
        <w:rPr>
          <w:rFonts w:hint="eastAsia"/>
          <w:szCs w:val="24"/>
        </w:rPr>
        <w:t>涉有限空间工贸企业检查表</w:t>
      </w:r>
    </w:p>
    <w:p w:rsidR="008B6FCD" w:rsidRDefault="008B6FCD" w:rsidP="008B6FCD">
      <w:pPr>
        <w:pStyle w:val="22"/>
        <w:spacing w:line="560" w:lineRule="exact"/>
        <w:rPr>
          <w:szCs w:val="24"/>
        </w:rPr>
      </w:pPr>
      <w:r>
        <w:rPr>
          <w:rFonts w:hint="eastAsia"/>
          <w:szCs w:val="24"/>
        </w:rPr>
        <w:t>表</w:t>
      </w:r>
      <w:r>
        <w:rPr>
          <w:szCs w:val="24"/>
        </w:rPr>
        <w:t>2</w:t>
      </w:r>
      <w:r>
        <w:rPr>
          <w:rFonts w:hint="eastAsia"/>
          <w:szCs w:val="24"/>
        </w:rPr>
        <w:t>：</w:t>
      </w:r>
      <w:r>
        <w:rPr>
          <w:rFonts w:hint="eastAsia"/>
          <w:szCs w:val="24"/>
        </w:rPr>
        <w:t xml:space="preserve"> </w:t>
      </w:r>
      <w:r>
        <w:rPr>
          <w:rFonts w:hint="eastAsia"/>
          <w:szCs w:val="24"/>
        </w:rPr>
        <w:t>涉爆粉尘工贸企业检查表</w:t>
      </w:r>
    </w:p>
    <w:p w:rsidR="008B6FCD" w:rsidRDefault="008B6FCD" w:rsidP="008B6FCD">
      <w:pPr>
        <w:pStyle w:val="22"/>
        <w:spacing w:line="560" w:lineRule="exact"/>
        <w:rPr>
          <w:rFonts w:asciiTheme="minorHAnsi" w:eastAsiaTheme="minorEastAsia" w:hAnsiTheme="minorHAnsi" w:cstheme="minorBidi"/>
          <w:sz w:val="21"/>
        </w:rPr>
      </w:pPr>
      <w:r>
        <w:rPr>
          <w:rFonts w:hint="eastAsia"/>
          <w:szCs w:val="24"/>
        </w:rPr>
        <w:t>表</w:t>
      </w:r>
      <w:r>
        <w:rPr>
          <w:szCs w:val="24"/>
        </w:rPr>
        <w:t>3</w:t>
      </w:r>
      <w:r>
        <w:rPr>
          <w:rFonts w:hint="eastAsia"/>
          <w:szCs w:val="24"/>
        </w:rPr>
        <w:t>：</w:t>
      </w:r>
      <w:r>
        <w:rPr>
          <w:rFonts w:hint="eastAsia"/>
          <w:szCs w:val="24"/>
        </w:rPr>
        <w:t xml:space="preserve"> </w:t>
      </w:r>
      <w:r>
        <w:rPr>
          <w:rFonts w:hint="eastAsia"/>
          <w:szCs w:val="24"/>
        </w:rPr>
        <w:t>金属冶炼企业检查表</w:t>
      </w:r>
      <w:r>
        <w:rPr>
          <w:szCs w:val="24"/>
        </w:rPr>
        <w:fldChar w:fldCharType="begin"/>
      </w:r>
      <w:r>
        <w:rPr>
          <w:szCs w:val="24"/>
        </w:rPr>
        <w:instrText xml:space="preserve"> TOC \o "1-3" \h \z \u </w:instrText>
      </w:r>
      <w:r>
        <w:rPr>
          <w:szCs w:val="24"/>
        </w:rPr>
        <w:fldChar w:fldCharType="separate"/>
      </w:r>
    </w:p>
    <w:p w:rsidR="008B6FCD" w:rsidRDefault="008B6FCD" w:rsidP="008B6FCD">
      <w:pPr>
        <w:pStyle w:val="22"/>
        <w:spacing w:line="560" w:lineRule="exact"/>
        <w:ind w:firstLine="493"/>
        <w:rPr>
          <w:rFonts w:asciiTheme="minorHAnsi" w:eastAsiaTheme="minorEastAsia" w:hAnsiTheme="minorHAnsi" w:cstheme="minorBidi"/>
          <w:sz w:val="21"/>
        </w:rPr>
      </w:pPr>
    </w:p>
    <w:p w:rsidR="008B6FCD" w:rsidRDefault="008B6FCD" w:rsidP="008B6FCD">
      <w:pPr>
        <w:spacing w:line="560" w:lineRule="exact"/>
        <w:ind w:firstLine="480"/>
        <w:rPr>
          <w:rFonts w:eastAsia="仿宋_GB2312"/>
          <w:b/>
          <w:bCs/>
          <w:kern w:val="44"/>
          <w:sz w:val="32"/>
          <w:szCs w:val="32"/>
        </w:rPr>
        <w:sectPr w:rsidR="008B6FCD">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851" w:footer="992" w:gutter="0"/>
          <w:pgNumType w:fmt="numberInDash" w:start="13"/>
          <w:cols w:space="0"/>
          <w:docGrid w:type="lines" w:linePitch="332"/>
        </w:sectPr>
      </w:pPr>
      <w:r>
        <w:fldChar w:fldCharType="end"/>
      </w:r>
    </w:p>
    <w:p w:rsidR="008B6FCD" w:rsidRDefault="008B6FCD" w:rsidP="008B6FCD">
      <w:pPr>
        <w:pStyle w:val="20"/>
        <w:spacing w:beforeAutospacing="0" w:afterAutospacing="0" w:line="560" w:lineRule="exact"/>
        <w:jc w:val="center"/>
        <w:rPr>
          <w:rFonts w:ascii="楷体" w:eastAsia="楷体" w:hAnsi="楷体" w:hint="default"/>
          <w:kern w:val="2"/>
          <w:sz w:val="32"/>
        </w:rPr>
      </w:pPr>
      <w:bookmarkStart w:id="0" w:name="_Toc10021747"/>
      <w:r>
        <w:rPr>
          <w:rFonts w:ascii="楷体" w:eastAsia="楷体" w:hAnsi="楷体"/>
          <w:kern w:val="2"/>
          <w:sz w:val="32"/>
        </w:rPr>
        <w:lastRenderedPageBreak/>
        <w:t>表</w:t>
      </w:r>
      <w:r>
        <w:rPr>
          <w:rFonts w:ascii="楷体" w:eastAsia="楷体" w:hAnsi="楷体" w:hint="default"/>
          <w:kern w:val="2"/>
          <w:sz w:val="32"/>
        </w:rPr>
        <w:t>1</w:t>
      </w:r>
      <w:r>
        <w:rPr>
          <w:rFonts w:ascii="楷体" w:eastAsia="楷体" w:hAnsi="楷体"/>
          <w:kern w:val="2"/>
          <w:sz w:val="32"/>
        </w:rPr>
        <w:t>： 涉有限空间工贸企业检查表</w:t>
      </w:r>
      <w:bookmarkEnd w:id="0"/>
    </w:p>
    <w:tbl>
      <w:tblPr>
        <w:tblW w:w="14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837"/>
        <w:gridCol w:w="1012"/>
        <w:gridCol w:w="6662"/>
        <w:gridCol w:w="1985"/>
        <w:gridCol w:w="3015"/>
      </w:tblGrid>
      <w:tr w:rsidR="008B6FCD" w:rsidTr="008852CC">
        <w:trPr>
          <w:trHeight w:val="960"/>
          <w:tblHeader/>
        </w:trPr>
        <w:tc>
          <w:tcPr>
            <w:tcW w:w="669" w:type="dxa"/>
            <w:tcBorders>
              <w:tl2br w:val="nil"/>
              <w:tr2bl w:val="nil"/>
            </w:tcBorders>
            <w:shd w:val="clear" w:color="auto" w:fill="auto"/>
            <w:vAlign w:val="center"/>
          </w:tcPr>
          <w:p w:rsidR="008B6FCD" w:rsidRDefault="008B6FCD" w:rsidP="008852CC">
            <w:pPr>
              <w:widowControl/>
              <w:spacing w:line="560" w:lineRule="exact"/>
              <w:jc w:val="center"/>
              <w:rPr>
                <w:rFonts w:ascii="Courier New" w:hAnsi="Courier New" w:cs="宋体"/>
                <w:b/>
                <w:bCs/>
                <w:color w:val="000000"/>
                <w:kern w:val="0"/>
              </w:rPr>
            </w:pPr>
            <w:r>
              <w:rPr>
                <w:rFonts w:ascii="Courier New" w:hAnsi="Courier New" w:cs="宋体"/>
                <w:b/>
                <w:bCs/>
                <w:color w:val="000000"/>
                <w:kern w:val="0"/>
              </w:rPr>
              <w:t>序号</w:t>
            </w:r>
          </w:p>
        </w:tc>
        <w:tc>
          <w:tcPr>
            <w:tcW w:w="837" w:type="dxa"/>
            <w:tcBorders>
              <w:tl2br w:val="nil"/>
              <w:tr2bl w:val="nil"/>
            </w:tcBorders>
            <w:shd w:val="clear" w:color="auto" w:fill="auto"/>
            <w:vAlign w:val="center"/>
          </w:tcPr>
          <w:p w:rsidR="008B6FCD" w:rsidRDefault="008B6FCD" w:rsidP="008852CC">
            <w:pPr>
              <w:widowControl/>
              <w:spacing w:line="560" w:lineRule="exact"/>
              <w:jc w:val="center"/>
              <w:rPr>
                <w:rFonts w:ascii="Courier New" w:hAnsi="Courier New" w:cs="宋体"/>
                <w:b/>
                <w:bCs/>
                <w:color w:val="000000"/>
                <w:kern w:val="0"/>
              </w:rPr>
            </w:pPr>
            <w:r>
              <w:rPr>
                <w:rFonts w:ascii="Courier New" w:hAnsi="Courier New" w:cs="宋体"/>
                <w:b/>
                <w:bCs/>
                <w:color w:val="000000"/>
                <w:kern w:val="0"/>
              </w:rPr>
              <w:t>检查项目</w:t>
            </w:r>
          </w:p>
        </w:tc>
        <w:tc>
          <w:tcPr>
            <w:tcW w:w="7674" w:type="dxa"/>
            <w:gridSpan w:val="2"/>
            <w:tcBorders>
              <w:tl2br w:val="nil"/>
              <w:tr2bl w:val="nil"/>
            </w:tcBorders>
            <w:shd w:val="clear" w:color="auto" w:fill="auto"/>
            <w:vAlign w:val="center"/>
          </w:tcPr>
          <w:p w:rsidR="008B6FCD" w:rsidRDefault="008B6FCD" w:rsidP="008852CC">
            <w:pPr>
              <w:widowControl/>
              <w:spacing w:line="560" w:lineRule="exact"/>
              <w:jc w:val="center"/>
              <w:rPr>
                <w:rFonts w:ascii="Courier New" w:hAnsi="Courier New" w:cs="宋体"/>
                <w:b/>
                <w:bCs/>
                <w:color w:val="000000"/>
                <w:kern w:val="0"/>
              </w:rPr>
            </w:pPr>
            <w:r>
              <w:rPr>
                <w:rFonts w:ascii="Courier New" w:hAnsi="Courier New" w:cs="宋体"/>
                <w:b/>
                <w:bCs/>
                <w:color w:val="000000"/>
                <w:kern w:val="0"/>
              </w:rPr>
              <w:t>检查内容</w:t>
            </w:r>
          </w:p>
        </w:tc>
        <w:tc>
          <w:tcPr>
            <w:tcW w:w="1985" w:type="dxa"/>
            <w:tcBorders>
              <w:tl2br w:val="nil"/>
              <w:tr2bl w:val="nil"/>
            </w:tcBorders>
            <w:shd w:val="clear" w:color="auto" w:fill="auto"/>
            <w:vAlign w:val="center"/>
          </w:tcPr>
          <w:p w:rsidR="008B6FCD" w:rsidRDefault="008B6FCD" w:rsidP="008852CC">
            <w:pPr>
              <w:widowControl/>
              <w:spacing w:line="560" w:lineRule="exact"/>
              <w:jc w:val="center"/>
              <w:rPr>
                <w:rFonts w:ascii="Courier New" w:hAnsi="Courier New" w:cs="宋体"/>
                <w:b/>
                <w:bCs/>
                <w:color w:val="000000"/>
                <w:kern w:val="0"/>
              </w:rPr>
            </w:pPr>
            <w:r>
              <w:rPr>
                <w:rFonts w:ascii="Courier New" w:hAnsi="Courier New" w:cs="宋体"/>
                <w:b/>
                <w:bCs/>
                <w:color w:val="000000"/>
                <w:kern w:val="0"/>
              </w:rPr>
              <w:t>检查依据</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Courier New" w:hAnsi="Courier New" w:cs="宋体"/>
                <w:b/>
                <w:bCs/>
                <w:color w:val="000000"/>
                <w:kern w:val="0"/>
              </w:rPr>
            </w:pPr>
            <w:r>
              <w:rPr>
                <w:rFonts w:ascii="Courier New" w:hAnsi="Courier New" w:cs="宋体"/>
                <w:b/>
                <w:bCs/>
                <w:color w:val="000000"/>
                <w:kern w:val="0"/>
              </w:rPr>
              <w:t>检查方法</w:t>
            </w:r>
          </w:p>
        </w:tc>
      </w:tr>
      <w:tr w:rsidR="008B6FCD" w:rsidTr="008852CC">
        <w:trPr>
          <w:trHeight w:val="2135"/>
        </w:trPr>
        <w:tc>
          <w:tcPr>
            <w:tcW w:w="669"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1</w:t>
            </w:r>
          </w:p>
        </w:tc>
        <w:tc>
          <w:tcPr>
            <w:tcW w:w="837"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组织</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机构</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安全管理机构设置及人员配备情况</w:t>
            </w:r>
          </w:p>
        </w:tc>
        <w:tc>
          <w:tcPr>
            <w:tcW w:w="6662" w:type="dxa"/>
            <w:tcBorders>
              <w:tl2br w:val="nil"/>
              <w:tr2bl w:val="nil"/>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①从业人员不足100人的，应当配备专职或者兼职的安全生产管理人员。</w:t>
            </w:r>
            <w:r>
              <w:rPr>
                <w:rFonts w:ascii="宋体" w:hAnsi="宋体" w:cs="宋体" w:hint="eastAsia"/>
                <w:color w:val="000000"/>
                <w:kern w:val="0"/>
                <w:sz w:val="18"/>
                <w:szCs w:val="18"/>
              </w:rPr>
              <w:br/>
              <w:t>②从业人员在100人以上不足300人的，应当配备专职安全生产管理人员。</w:t>
            </w:r>
            <w:r>
              <w:rPr>
                <w:rFonts w:ascii="宋体" w:hAnsi="宋体" w:cs="宋体" w:hint="eastAsia"/>
                <w:color w:val="000000"/>
                <w:kern w:val="0"/>
                <w:sz w:val="18"/>
                <w:szCs w:val="18"/>
              </w:rPr>
              <w:br/>
              <w:t>③从业人员在300人以上不足1000人的，应当设置安全生产管理机构，并配备2名以上专职安全生产管理人员，至少应当有1名注册安全工程师。</w:t>
            </w:r>
            <w:r>
              <w:rPr>
                <w:rFonts w:ascii="宋体" w:hAnsi="宋体" w:cs="宋体" w:hint="eastAsia"/>
                <w:color w:val="000000"/>
                <w:kern w:val="0"/>
                <w:sz w:val="18"/>
                <w:szCs w:val="18"/>
              </w:rPr>
              <w:br/>
              <w:t>④从业人员在1000人以上的，应当设置专门的安全生产管理机构，并按不低于从业人员3‰的比例配备专职安全生产管理人员，至少应当有2名注册安全工程师。</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省政府260号令第九条</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查看机构设置文件、人员任命文件、注册安全工程师执业证、员工花名册、工资发放记录等能够证明员工数量的相关资料。</w:t>
            </w:r>
          </w:p>
        </w:tc>
      </w:tr>
      <w:tr w:rsidR="008B6FCD" w:rsidTr="008852CC">
        <w:trPr>
          <w:trHeight w:val="848"/>
        </w:trPr>
        <w:tc>
          <w:tcPr>
            <w:tcW w:w="669" w:type="dxa"/>
            <w:vMerge/>
            <w:tcBorders>
              <w:tl2br w:val="nil"/>
              <w:tr2bl w:val="nil"/>
            </w:tcBorders>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安委会</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建立情况</w:t>
            </w:r>
          </w:p>
        </w:tc>
        <w:tc>
          <w:tcPr>
            <w:tcW w:w="6662" w:type="dxa"/>
            <w:tcBorders>
              <w:tl2br w:val="nil"/>
              <w:tr2bl w:val="nil"/>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从业人员在1000人以上的企业，应当建立安全生产委员会，安全生产委员会每季度至少召开一次会议，会议应当有书面记录。</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查看安委会成立、发布文件、安委会季度会议通知、纪要等资料。</w:t>
            </w:r>
          </w:p>
        </w:tc>
      </w:tr>
      <w:tr w:rsidR="008B6FCD" w:rsidTr="008852CC">
        <w:trPr>
          <w:trHeight w:val="689"/>
        </w:trPr>
        <w:tc>
          <w:tcPr>
            <w:tcW w:w="669"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2</w:t>
            </w:r>
          </w:p>
        </w:tc>
        <w:tc>
          <w:tcPr>
            <w:tcW w:w="837"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安全生产责任制</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主要负责人责任制</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企业制定的主要负责人职责应涵盖260号令第八条规定的13项内容，职责落实情况要有书面记录。</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查看责任制文件以及能够证明职责落实的相关材料。</w:t>
            </w:r>
          </w:p>
        </w:tc>
      </w:tr>
      <w:tr w:rsidR="008B6FCD" w:rsidTr="008852CC">
        <w:trPr>
          <w:trHeight w:val="700"/>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管理人员</w:t>
            </w:r>
            <w:r>
              <w:rPr>
                <w:rFonts w:ascii="宋体" w:hAnsi="宋体" w:cs="宋体" w:hint="eastAsia"/>
                <w:color w:val="000000"/>
                <w:kern w:val="0"/>
                <w:sz w:val="18"/>
                <w:szCs w:val="18"/>
              </w:rPr>
              <w:lastRenderedPageBreak/>
              <w:t>责任制</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企业制定的安全管理人员职责应涵盖260号令第十条规定的10项内容，职责落实</w:t>
            </w:r>
            <w:r>
              <w:rPr>
                <w:rFonts w:ascii="宋体" w:hAnsi="宋体" w:cs="宋体" w:hint="eastAsia"/>
                <w:color w:val="000000"/>
                <w:kern w:val="0"/>
                <w:sz w:val="18"/>
                <w:szCs w:val="18"/>
              </w:rPr>
              <w:lastRenderedPageBreak/>
              <w:t>情况要有书面记录。</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省政府260号令第十条</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查看责任制文件以及能够证明职责</w:t>
            </w:r>
            <w:r>
              <w:rPr>
                <w:rFonts w:ascii="宋体" w:hAnsi="宋体" w:cs="宋体" w:hint="eastAsia"/>
                <w:color w:val="000000"/>
                <w:kern w:val="0"/>
                <w:sz w:val="18"/>
                <w:szCs w:val="18"/>
              </w:rPr>
              <w:lastRenderedPageBreak/>
              <w:t>落实的相关材料。</w:t>
            </w:r>
          </w:p>
        </w:tc>
      </w:tr>
      <w:tr w:rsidR="008B6FCD" w:rsidTr="008852CC">
        <w:trPr>
          <w:trHeight w:val="700"/>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其他人员的安全生产责任制</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应当明确分管安全负责人、技术负责人、其他负责人、职能部门负责人、生产车间（区队）负责人、生产班组负责人、一般从业人员等全体人员的安全生产责任，并逐级进行落实和考核。</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省政府260号令第六条</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查看责任制文件以及能够证明职责落实的相关材料。</w:t>
            </w:r>
          </w:p>
        </w:tc>
      </w:tr>
      <w:tr w:rsidR="008B6FCD" w:rsidTr="008852CC">
        <w:trPr>
          <w:trHeight w:val="1979"/>
        </w:trPr>
        <w:tc>
          <w:tcPr>
            <w:tcW w:w="669"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3</w:t>
            </w:r>
          </w:p>
        </w:tc>
        <w:tc>
          <w:tcPr>
            <w:tcW w:w="837"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安全告知</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①生产经营单位与从业人员签订的劳动合同、聘用合同以及与劳务派遣单位订立的劳务派遣协议，应载明有关保障从业人员劳动安全、防止职业病危害的事项。</w:t>
            </w:r>
            <w:r>
              <w:rPr>
                <w:rFonts w:ascii="宋体" w:hAnsi="宋体" w:cs="宋体" w:hint="eastAsia"/>
                <w:color w:val="000000"/>
                <w:kern w:val="0"/>
                <w:sz w:val="18"/>
                <w:szCs w:val="18"/>
              </w:rPr>
              <w:br/>
              <w:t>②不得以任何形式与从业人员订立免除或者减轻其对从业人员因生产安全事故、职业病危害事故依法应当承担责任的协议。使用劳务派遣人员的单位应当将现场劳务派遣人员纳入本单位从业人员统一管理，履行安全生产保障责任，不得将安全生产保障责任转移给劳务派遣单位。</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省政府260号令第十四条，《安全生产法》第四十九条</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查看劳动合同、聘用合同以及劳动派遣协议。</w:t>
            </w:r>
          </w:p>
        </w:tc>
      </w:tr>
      <w:tr w:rsidR="008B6FCD" w:rsidTr="008852CC">
        <w:trPr>
          <w:trHeight w:val="1141"/>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劳动防护</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生产经营单位应建立劳动防护用品管理制度、按规定制定劳动防护用品配备标准，明确各岗位从业人员配备的种类和型号（根据有限空间存在危险有害因素的种类和</w:t>
            </w:r>
            <w:r>
              <w:rPr>
                <w:rFonts w:ascii="宋体" w:hAnsi="宋体" w:cs="宋体" w:hint="eastAsia"/>
                <w:color w:val="000000"/>
                <w:kern w:val="0"/>
                <w:sz w:val="18"/>
                <w:szCs w:val="18"/>
              </w:rPr>
              <w:lastRenderedPageBreak/>
              <w:t>危害程度，配备相应的的劳动防护用品）。</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省政府260号令第二十一条；《安全生产法》</w:t>
            </w:r>
            <w:r>
              <w:rPr>
                <w:rFonts w:ascii="宋体" w:hAnsi="宋体" w:cs="宋体" w:hint="eastAsia"/>
                <w:color w:val="000000"/>
                <w:kern w:val="0"/>
                <w:sz w:val="18"/>
                <w:szCs w:val="18"/>
              </w:rPr>
              <w:lastRenderedPageBreak/>
              <w:t>第四十二条等</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查看管理制度、配备标准、发放登记台账。</w:t>
            </w:r>
          </w:p>
        </w:tc>
      </w:tr>
      <w:tr w:rsidR="008B6FCD" w:rsidTr="008852CC">
        <w:trPr>
          <w:trHeight w:val="2972"/>
        </w:trPr>
        <w:tc>
          <w:tcPr>
            <w:tcW w:w="669"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3</w:t>
            </w:r>
          </w:p>
        </w:tc>
        <w:tc>
          <w:tcPr>
            <w:tcW w:w="837"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风险管控与隐患排查</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①生产经营单位应当建立安全生产风险管控机制，确定排查出的风险点的危险性风险等级，并采取相应的风险管控措施，对风险点进行公告警示。</w:t>
            </w:r>
            <w:r>
              <w:rPr>
                <w:rFonts w:ascii="宋体" w:hAnsi="宋体" w:cs="宋体" w:hint="eastAsia"/>
                <w:color w:val="000000"/>
                <w:kern w:val="0"/>
                <w:sz w:val="18"/>
                <w:szCs w:val="18"/>
              </w:rPr>
              <w:br/>
              <w:t>②建立事故隐患排查治理制度，建立健全隐患排查治理体系，定期组织安全检查，开展事故隐患自查自纠。</w:t>
            </w:r>
            <w:r>
              <w:rPr>
                <w:rFonts w:ascii="宋体" w:hAnsi="宋体" w:cs="宋体" w:hint="eastAsia"/>
                <w:color w:val="000000"/>
                <w:kern w:val="0"/>
                <w:sz w:val="18"/>
                <w:szCs w:val="18"/>
              </w:rPr>
              <w:br/>
              <w:t>③对排查出的事故隐患，按照事故隐患的等级进行登记，建立事故隐患信息档案，积极整改安全检查发现的问题，对不能立即整改的，要落实“五定”（整改措施、责任、资金、时限和预案）。</w:t>
            </w:r>
            <w:r>
              <w:rPr>
                <w:rFonts w:ascii="宋体" w:hAnsi="宋体" w:cs="宋体" w:hint="eastAsia"/>
                <w:color w:val="000000"/>
                <w:kern w:val="0"/>
                <w:sz w:val="18"/>
                <w:szCs w:val="18"/>
              </w:rPr>
              <w:br/>
              <w:t>④对于重大事故隐患，应当及时将治理方案向负有安全生产监督管理职责的部门报告。整改治理结束后，应当将治理效果评估报告报有关部门备案。</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省政府260号令第二十七、二十九条；《安全生产法》第三十八条</w:t>
            </w:r>
            <w:r>
              <w:rPr>
                <w:rFonts w:ascii="宋体" w:hAnsi="宋体" w:cs="宋体" w:hint="eastAsia"/>
                <w:color w:val="000000"/>
                <w:kern w:val="0"/>
                <w:sz w:val="18"/>
                <w:szCs w:val="18"/>
              </w:rPr>
              <w:br/>
              <w:t>《安全生产事故隐患排查治理暂行规定》四、十、十五、十八条</w:t>
            </w:r>
            <w:r>
              <w:rPr>
                <w:rFonts w:ascii="宋体" w:hAnsi="宋体" w:cs="宋体" w:hint="eastAsia"/>
                <w:color w:val="000000"/>
                <w:kern w:val="0"/>
                <w:sz w:val="18"/>
                <w:szCs w:val="18"/>
              </w:rPr>
              <w:br/>
              <w:t>省政府办公厅（鲁政办字〔2016〕36号）文等</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查看相关制度和文件、隐患整改台账、隐患备案、风险分级管控“一企一册”等相关资料。</w:t>
            </w:r>
          </w:p>
        </w:tc>
      </w:tr>
      <w:tr w:rsidR="008B6FCD" w:rsidTr="008852CC">
        <w:trPr>
          <w:trHeight w:val="690"/>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标准化</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建设</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企业应当按照规定开展以岗位达标、专业达标和企业达标为主要内容的安全生产标</w:t>
            </w:r>
            <w:r>
              <w:rPr>
                <w:rFonts w:ascii="宋体" w:hAnsi="宋体" w:cs="宋体" w:hint="eastAsia"/>
                <w:color w:val="000000"/>
                <w:kern w:val="0"/>
                <w:sz w:val="18"/>
                <w:szCs w:val="18"/>
              </w:rPr>
              <w:lastRenderedPageBreak/>
              <w:t>准化建设。</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省政府260号令第二十</w:t>
            </w:r>
            <w:r>
              <w:rPr>
                <w:rFonts w:ascii="宋体" w:hAnsi="宋体" w:cs="宋体" w:hint="eastAsia"/>
                <w:color w:val="000000"/>
                <w:kern w:val="0"/>
                <w:sz w:val="18"/>
                <w:szCs w:val="18"/>
              </w:rPr>
              <w:lastRenderedPageBreak/>
              <w:t>六条</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查看证书及相关资料。</w:t>
            </w:r>
          </w:p>
        </w:tc>
      </w:tr>
      <w:tr w:rsidR="008B6FCD" w:rsidTr="008852CC">
        <w:trPr>
          <w:trHeight w:val="1905"/>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承包租赁</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①生产经营单位应当对承包单位、承租单位的安全生产条件或者相应的资质进行审查。</w:t>
            </w:r>
            <w:r>
              <w:rPr>
                <w:rFonts w:ascii="宋体" w:hAnsi="宋体" w:cs="宋体" w:hint="eastAsia"/>
                <w:color w:val="000000"/>
                <w:kern w:val="0"/>
                <w:sz w:val="18"/>
                <w:szCs w:val="18"/>
              </w:rPr>
              <w:br/>
              <w:t>②签订专门的安全生产管理协议签订或者在承包合同、租赁合同约定安全生产管理事项并对承包、承租单位进行监督检查。</w:t>
            </w:r>
            <w:r>
              <w:rPr>
                <w:rFonts w:ascii="宋体" w:hAnsi="宋体" w:cs="宋体" w:hint="eastAsia"/>
                <w:color w:val="000000"/>
                <w:kern w:val="0"/>
                <w:sz w:val="18"/>
                <w:szCs w:val="18"/>
              </w:rPr>
              <w:br/>
              <w:t>③企业对其发包的有限空间作业安全承担主体责任。承包方对其承包的有限空间作业安全承担直接责任。</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省政府260号令第十五条；《安全生产法》第四十六条；《工贸企业有限空间作业安全管理与监督暂行规定》第二十二条</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查看承包或租赁资质、安全生产管理协议或合同、监督检查等资料。</w:t>
            </w:r>
          </w:p>
        </w:tc>
      </w:tr>
      <w:tr w:rsidR="008B6FCD" w:rsidTr="008852CC">
        <w:trPr>
          <w:trHeight w:val="3693"/>
        </w:trPr>
        <w:tc>
          <w:tcPr>
            <w:tcW w:w="669"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3</w:t>
            </w:r>
          </w:p>
        </w:tc>
        <w:tc>
          <w:tcPr>
            <w:tcW w:w="837"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安全生产教育培训</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①生产经营单位应当安全生产教育培训和特种作业人员管理制度。</w:t>
            </w:r>
            <w:r>
              <w:rPr>
                <w:rFonts w:ascii="宋体" w:hAnsi="宋体" w:cs="宋体" w:hint="eastAsia"/>
                <w:color w:val="000000"/>
                <w:kern w:val="0"/>
                <w:sz w:val="18"/>
                <w:szCs w:val="18"/>
              </w:rPr>
              <w:br/>
              <w:t>②生产经营单位的特种作业人员，必须按照国家有关法律、法规的规定接受专门的安全技术培训，取得特种作业操作证，方可上岗作业，并建立特种作业人员档案。</w:t>
            </w:r>
            <w:r>
              <w:rPr>
                <w:rFonts w:ascii="宋体" w:hAnsi="宋体" w:cs="宋体" w:hint="eastAsia"/>
                <w:color w:val="000000"/>
                <w:kern w:val="0"/>
                <w:sz w:val="18"/>
                <w:szCs w:val="18"/>
              </w:rPr>
              <w:br/>
              <w:t>③对从业人员进行安全生产教育和培训（含应急救援内容），岗前培训不得少于24学时。未经安全生产教育和培训合格的从业人员，不得上岗作业。</w:t>
            </w:r>
            <w:r>
              <w:rPr>
                <w:rFonts w:ascii="宋体" w:hAnsi="宋体" w:cs="宋体" w:hint="eastAsia"/>
                <w:color w:val="000000"/>
                <w:kern w:val="0"/>
                <w:sz w:val="18"/>
                <w:szCs w:val="18"/>
              </w:rPr>
              <w:br/>
              <w:t>④应当按照规定对被派遣劳动者、实习学生进行安全生产教育和培训。</w:t>
            </w:r>
            <w:r>
              <w:rPr>
                <w:rFonts w:ascii="宋体" w:hAnsi="宋体" w:cs="宋体" w:hint="eastAsia"/>
                <w:color w:val="000000"/>
                <w:kern w:val="0"/>
                <w:sz w:val="18"/>
                <w:szCs w:val="18"/>
              </w:rPr>
              <w:br/>
              <w:t>⑤建立健全从业人员安全生产教育和培训档案，详细、准确记录培训的时间、内容、参加人员以及考核结果等情况。</w:t>
            </w:r>
            <w:r>
              <w:rPr>
                <w:rFonts w:ascii="宋体" w:hAnsi="宋体" w:cs="宋体" w:hint="eastAsia"/>
                <w:color w:val="000000"/>
                <w:kern w:val="0"/>
                <w:sz w:val="18"/>
                <w:szCs w:val="18"/>
              </w:rPr>
              <w:br/>
              <w:t>⑥对有限空间作业现场负责人、监护人员、作业人员、应急救援人员（含外来劳务人员、外包单位作业人员等）进行专项安全培训，严禁培训不合格上岗作业。</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省政府260号令第二十四、二十五条</w:t>
            </w:r>
            <w:r>
              <w:rPr>
                <w:rFonts w:ascii="宋体" w:hAnsi="宋体" w:cs="宋体" w:hint="eastAsia"/>
                <w:color w:val="000000"/>
                <w:kern w:val="0"/>
                <w:sz w:val="18"/>
                <w:szCs w:val="18"/>
              </w:rPr>
              <w:br/>
              <w:t>《工贸企业有限空间作业安全管理与监督暂行规定》第五条</w:t>
            </w:r>
            <w:r>
              <w:rPr>
                <w:rFonts w:ascii="宋体" w:hAnsi="宋体" w:cs="宋体" w:hint="eastAsia"/>
                <w:color w:val="000000"/>
                <w:kern w:val="0"/>
                <w:sz w:val="18"/>
                <w:szCs w:val="18"/>
              </w:rPr>
              <w:br/>
              <w:t>《安全生产法》和《生产经营单位安全培训规定》等相关条款</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查看相关制度、证书、安全培训计划、培训档案等资料。</w:t>
            </w:r>
          </w:p>
        </w:tc>
      </w:tr>
      <w:tr w:rsidR="008B6FCD" w:rsidTr="008852CC">
        <w:trPr>
          <w:trHeight w:val="3180"/>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应急救援</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①制定本单位生产安全事故应急救援预案（包含有限空间作业应急救援内容）。</w:t>
            </w:r>
            <w:r>
              <w:rPr>
                <w:rFonts w:ascii="宋体" w:hAnsi="宋体" w:cs="宋体" w:hint="eastAsia"/>
                <w:color w:val="000000"/>
                <w:kern w:val="0"/>
                <w:sz w:val="18"/>
                <w:szCs w:val="18"/>
              </w:rPr>
              <w:br/>
              <w:t>②中型规模以上的单位应当组织专家对本单位编制的应急预案进行评审，其他生产经营单位应当对本单位编制的应急预案进行论证。</w:t>
            </w:r>
            <w:r>
              <w:rPr>
                <w:rFonts w:ascii="宋体" w:hAnsi="宋体" w:cs="宋体" w:hint="eastAsia"/>
                <w:color w:val="000000"/>
                <w:kern w:val="0"/>
                <w:sz w:val="18"/>
                <w:szCs w:val="18"/>
              </w:rPr>
              <w:br/>
              <w:t>③制定应急预案演练计划，每年至少组织一次综合应急预案演练或者专项应急预案演练，每半年至少组织一次现场处置方案演练（有限空间作业应急预案，每年至少进行一次演练）。</w:t>
            </w:r>
            <w:r>
              <w:rPr>
                <w:rFonts w:ascii="宋体" w:hAnsi="宋体" w:cs="宋体" w:hint="eastAsia"/>
                <w:color w:val="000000"/>
                <w:kern w:val="0"/>
                <w:sz w:val="18"/>
                <w:szCs w:val="18"/>
              </w:rPr>
              <w:br/>
              <w:t>④演练结束后，对应急预案演练效果进行评估，撰写应急预案演练评估报告，分析存在的问题，并对应急预案提出修订意见。⑤按应急预案的要求配备应急物资及装备（根据有限空间作业的特点配备相关的呼吸器、防毒面罩、通讯设备、安全绳索等应急装备和器材），建立使用状况档案，定期检测和维护，使其处于良好状态。</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省政府260号令第二十三、三十二条，《安全生产法》第七十八条，《工贸企业有限空间作业安全管理与监督暂行规定》第二十一条，《生产安全事故应急预案管理办法》等相关条款</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查看应急预案、评审或论证纪要、培训记录、应急物资装备、演练计划和演练记录等资料。</w:t>
            </w:r>
          </w:p>
        </w:tc>
      </w:tr>
      <w:tr w:rsidR="008B6FCD" w:rsidTr="008852CC">
        <w:trPr>
          <w:trHeight w:val="989"/>
        </w:trPr>
        <w:tc>
          <w:tcPr>
            <w:tcW w:w="669"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3</w:t>
            </w:r>
          </w:p>
        </w:tc>
        <w:tc>
          <w:tcPr>
            <w:tcW w:w="837"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有限空间排查辨识</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①排查、辨识本企业的有限空间且无遗漏，并确定有限空间的数量、位置以及危险有害因素等基本情况。 ②建立有限空间管理台账，并及时更新。③将管理台账报</w:t>
            </w:r>
            <w:r>
              <w:rPr>
                <w:rFonts w:ascii="宋体" w:hAnsi="宋体" w:cs="宋体" w:hint="eastAsia"/>
                <w:color w:val="000000"/>
                <w:kern w:val="0"/>
                <w:sz w:val="18"/>
                <w:szCs w:val="18"/>
              </w:rPr>
              <w:lastRenderedPageBreak/>
              <w:t>属地县级安监部门及行业主管部门。</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总局59号令第七条</w:t>
            </w:r>
            <w:r>
              <w:rPr>
                <w:rFonts w:ascii="宋体" w:hAnsi="宋体" w:cs="宋体" w:hint="eastAsia"/>
                <w:color w:val="000000"/>
                <w:kern w:val="0"/>
                <w:sz w:val="18"/>
                <w:szCs w:val="18"/>
              </w:rPr>
              <w:br/>
              <w:t>省局鲁安监发〔2016〕</w:t>
            </w:r>
            <w:r>
              <w:rPr>
                <w:rFonts w:ascii="宋体" w:hAnsi="宋体" w:cs="宋体" w:hint="eastAsia"/>
                <w:color w:val="000000"/>
                <w:kern w:val="0"/>
                <w:sz w:val="18"/>
                <w:szCs w:val="18"/>
              </w:rPr>
              <w:lastRenderedPageBreak/>
              <w:t>62号文</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查看有限空间管理台账。</w:t>
            </w:r>
          </w:p>
        </w:tc>
      </w:tr>
      <w:tr w:rsidR="008B6FCD" w:rsidTr="008852CC">
        <w:trPr>
          <w:trHeight w:val="848"/>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有限空间作业制度和规程</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企业制定的有限空间作业安全生产制度和规程应当涵盖《工贸企业有限空间作业安全管理与监督暂行规定》第五条规定的6项内容。</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总局59号令第五条</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查看相关制度、规程。</w:t>
            </w:r>
          </w:p>
        </w:tc>
      </w:tr>
      <w:tr w:rsidR="008B6FCD" w:rsidTr="008852CC">
        <w:trPr>
          <w:trHeight w:val="847"/>
        </w:trPr>
        <w:tc>
          <w:tcPr>
            <w:tcW w:w="669" w:type="dxa"/>
            <w:tcBorders>
              <w:tl2br w:val="nil"/>
              <w:tr2bl w:val="nil"/>
            </w:tcBorders>
            <w:shd w:val="clear" w:color="auto" w:fill="auto"/>
            <w:vAlign w:val="center"/>
          </w:tcPr>
          <w:p w:rsidR="008B6FCD" w:rsidRDefault="008B6FCD" w:rsidP="008852CC">
            <w:pPr>
              <w:widowControl/>
              <w:spacing w:line="560" w:lineRule="exact"/>
              <w:jc w:val="right"/>
              <w:rPr>
                <w:rFonts w:ascii="宋体" w:hAnsi="宋体" w:cs="宋体"/>
                <w:color w:val="000000"/>
                <w:kern w:val="0"/>
                <w:sz w:val="18"/>
                <w:szCs w:val="18"/>
              </w:rPr>
            </w:pPr>
            <w:r>
              <w:rPr>
                <w:rFonts w:ascii="宋体" w:hAnsi="宋体" w:cs="宋体" w:hint="eastAsia"/>
                <w:color w:val="000000"/>
                <w:kern w:val="0"/>
                <w:sz w:val="18"/>
                <w:szCs w:val="18"/>
              </w:rPr>
              <w:t>4</w:t>
            </w:r>
          </w:p>
        </w:tc>
        <w:tc>
          <w:tcPr>
            <w:tcW w:w="837"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操作</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规程</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操作规程</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①安全操作规程应当符合法律、法规、规章和国家、行业或者地方标准。</w:t>
            </w:r>
            <w:r>
              <w:rPr>
                <w:rFonts w:ascii="宋体" w:hAnsi="宋体" w:cs="宋体" w:hint="eastAsia"/>
                <w:color w:val="000000"/>
                <w:kern w:val="0"/>
                <w:sz w:val="18"/>
                <w:szCs w:val="18"/>
              </w:rPr>
              <w:br/>
              <w:t>②安全操作规程应当涵盖每种岗位及符合岗位实际。</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省政府260号令第七条，</w:t>
            </w:r>
          </w:p>
        </w:tc>
        <w:tc>
          <w:tcPr>
            <w:tcW w:w="301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查看安全操作规程、执行记录等相关材料以及现场执行情况。</w:t>
            </w:r>
          </w:p>
        </w:tc>
      </w:tr>
      <w:tr w:rsidR="008B6FCD" w:rsidTr="008852CC">
        <w:trPr>
          <w:trHeight w:val="795"/>
        </w:trPr>
        <w:tc>
          <w:tcPr>
            <w:tcW w:w="669"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5</w:t>
            </w:r>
          </w:p>
        </w:tc>
        <w:tc>
          <w:tcPr>
            <w:tcW w:w="837"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现场</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防护用品</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应当为从业人员提供符合国家标准或者行业标准的劳动防护用品，并监督、教育从业人员正确佩戴、使用。</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省政府260号令第二十一条《安全生产法》第四十二条</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查看劳动防护用品实物和人员佩戴情况。</w:t>
            </w:r>
          </w:p>
        </w:tc>
      </w:tr>
      <w:tr w:rsidR="008B6FCD" w:rsidTr="008852CC">
        <w:trPr>
          <w:trHeight w:val="3165"/>
        </w:trPr>
        <w:tc>
          <w:tcPr>
            <w:tcW w:w="669"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5</w:t>
            </w:r>
          </w:p>
        </w:tc>
        <w:tc>
          <w:tcPr>
            <w:tcW w:w="837"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现场</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其他方面</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①企业生产、生活和储存区域之间应当保持规定的安全距离。</w:t>
            </w:r>
            <w:r>
              <w:rPr>
                <w:rFonts w:ascii="宋体" w:hAnsi="宋体" w:cs="宋体" w:hint="eastAsia"/>
                <w:color w:val="000000"/>
                <w:kern w:val="0"/>
                <w:sz w:val="18"/>
                <w:szCs w:val="18"/>
              </w:rPr>
              <w:br/>
              <w:t>②生产经营场所和员工宿舍应当设有符合紧急疏散要求、标志明显、保持畅通的安全出口和疏散通道。禁止封闭、堵塞生产经营场所或者员工宿舍的安全出口和疏散通道。</w:t>
            </w:r>
            <w:r>
              <w:rPr>
                <w:rFonts w:ascii="宋体" w:hAnsi="宋体" w:cs="宋体" w:hint="eastAsia"/>
                <w:color w:val="000000"/>
                <w:kern w:val="0"/>
                <w:sz w:val="18"/>
                <w:szCs w:val="18"/>
              </w:rPr>
              <w:br/>
              <w:t>③应当在危险源、危险区域设置明显的安全警示标志，配备通讯、照明等应急器材和设施，并根据生产经营设施的承载负荷或者生产经营场所核定的人数控制人员进入。</w:t>
            </w:r>
            <w:r>
              <w:rPr>
                <w:rFonts w:ascii="宋体" w:hAnsi="宋体" w:cs="宋体" w:hint="eastAsia"/>
                <w:color w:val="000000"/>
                <w:kern w:val="0"/>
                <w:sz w:val="18"/>
                <w:szCs w:val="18"/>
              </w:rPr>
              <w:br/>
              <w:t>④按规定实施爆破、悬挂、挖掘、大型设备（构件）吊装、危险场所动火、有毒有害、危险设备试生产等作业，由相关负责人现场带班，由专人进行现场指挥和安全监督。</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省政府260号令第二十、三十一条；《安全生产法》第三十二条以及有关法律法规和标准</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查看评价报告、相关制度和文件等资料，现场检查。</w:t>
            </w:r>
          </w:p>
        </w:tc>
      </w:tr>
      <w:tr w:rsidR="008B6FCD" w:rsidTr="008852CC">
        <w:trPr>
          <w:trHeight w:val="1414"/>
        </w:trPr>
        <w:tc>
          <w:tcPr>
            <w:tcW w:w="669"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6</w:t>
            </w:r>
          </w:p>
        </w:tc>
        <w:tc>
          <w:tcPr>
            <w:tcW w:w="837"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有限空间安全</w:t>
            </w:r>
            <w:r>
              <w:rPr>
                <w:rFonts w:ascii="宋体" w:hAnsi="宋体" w:cs="宋体" w:hint="eastAsia"/>
                <w:color w:val="000000"/>
                <w:kern w:val="0"/>
                <w:sz w:val="18"/>
                <w:szCs w:val="18"/>
              </w:rPr>
              <w:lastRenderedPageBreak/>
              <w:t>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警示标志</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对于需用钥匙、工具打开或有实物障碍的有限空间应在进入点显著位置设置警示标识。除上述外的有限空间，应设置足够数量且固定的警示标识。所有警示标识应包</w:t>
            </w:r>
            <w:r>
              <w:rPr>
                <w:rFonts w:ascii="宋体" w:hAnsi="宋体" w:cs="宋体" w:hint="eastAsia"/>
                <w:color w:val="000000"/>
                <w:kern w:val="0"/>
                <w:sz w:val="18"/>
                <w:szCs w:val="18"/>
              </w:rPr>
              <w:lastRenderedPageBreak/>
              <w:t>括提醒有危险存在和须经授权才允许进入等内容。</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《工贸企业有限空间作业安全规范》</w:t>
            </w:r>
            <w:r>
              <w:rPr>
                <w:rFonts w:ascii="宋体" w:hAnsi="宋体" w:cs="宋体" w:hint="eastAsia"/>
                <w:color w:val="000000"/>
                <w:kern w:val="0"/>
                <w:sz w:val="18"/>
                <w:szCs w:val="18"/>
              </w:rPr>
              <w:lastRenderedPageBreak/>
              <w:t>DB37T1933-2011/5.2.2；总局59号令第十九条</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查看有限空间管理台账、现场警示标志。</w:t>
            </w:r>
          </w:p>
        </w:tc>
      </w:tr>
      <w:tr w:rsidR="008B6FCD" w:rsidTr="008852CC">
        <w:trPr>
          <w:trHeight w:val="1965"/>
        </w:trPr>
        <w:tc>
          <w:tcPr>
            <w:tcW w:w="669"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6</w:t>
            </w:r>
          </w:p>
        </w:tc>
        <w:tc>
          <w:tcPr>
            <w:tcW w:w="837"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有限空间安全管理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电气设备</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有限空间作业场所的照明灯具电压应当符合《特低电压限值》(GB/T3805)等国家标准或者行业标准的规定；作业场所存在可燃性气体、粉尘的，其电气设施设备及照明灯具的防爆安全要求应当符合《爆炸性环境第一部分：设备通用要求》（GB3836.1）等国家标准或者行业标准的规定。</w:t>
            </w:r>
            <w:r>
              <w:rPr>
                <w:rFonts w:ascii="宋体" w:hAnsi="宋体" w:cs="宋体" w:hint="eastAsia"/>
                <w:color w:val="000000"/>
                <w:kern w:val="0"/>
                <w:sz w:val="18"/>
                <w:szCs w:val="18"/>
              </w:rPr>
              <w:br/>
              <w:t>②进入有限空间作业，使用手持电动工具应有漏电保护装置。</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总局59号令第十七条</w:t>
            </w:r>
            <w:r>
              <w:rPr>
                <w:rFonts w:ascii="宋体" w:hAnsi="宋体" w:cs="宋体" w:hint="eastAsia"/>
                <w:color w:val="000000"/>
                <w:kern w:val="0"/>
                <w:sz w:val="18"/>
                <w:szCs w:val="18"/>
              </w:rPr>
              <w:br/>
              <w:t>《工贸企业有限空间作业安全规范》DB37T1933-2011/第5.6条</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查看有限空间管理台账、作业票证、安全电压变压器、漏电保护装置。</w:t>
            </w:r>
          </w:p>
        </w:tc>
      </w:tr>
      <w:tr w:rsidR="008B6FCD" w:rsidTr="008852CC">
        <w:trPr>
          <w:trHeight w:val="1014"/>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作业审批</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实施有限空间作业前，应当对作业环境进行评估，分析存在的危险有害因素，提出消除、控制危害的措施，制定有限空间作业方案，并经本企业安全生产管理人员审核，负责人批准。</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总局59号令第八条</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查看有限空间管理台账、作业方案、作业票证。</w:t>
            </w:r>
          </w:p>
        </w:tc>
      </w:tr>
      <w:tr w:rsidR="008B6FCD" w:rsidTr="008852CC">
        <w:trPr>
          <w:trHeight w:val="546"/>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安全职责</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有限空间作业方案，应明确作业现场负责人、监护人员、作业人员及其安全职责。</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总局59号令第九条</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查看有限空间作业方案、作业票证。</w:t>
            </w:r>
          </w:p>
        </w:tc>
      </w:tr>
      <w:tr w:rsidR="008B6FCD" w:rsidTr="008852CC">
        <w:trPr>
          <w:trHeight w:val="696"/>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安全交底</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实施有限空间作业前，应当将有限空间作业方案和作业现场可能存在的危险有害因素、防控措施告知作业人员。</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总局59号令第十条</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查看有限空间作业方案、交底记录。</w:t>
            </w:r>
          </w:p>
        </w:tc>
      </w:tr>
      <w:tr w:rsidR="008B6FCD" w:rsidTr="008852CC">
        <w:trPr>
          <w:trHeight w:val="2393"/>
        </w:trPr>
        <w:tc>
          <w:tcPr>
            <w:tcW w:w="669"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6</w:t>
            </w:r>
          </w:p>
        </w:tc>
        <w:tc>
          <w:tcPr>
            <w:tcW w:w="837" w:type="dxa"/>
            <w:vMerge w:val="restart"/>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有限空间安全管理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通风检测</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严格遵守“先通风、再检测、后作业”的原则。未经通风和检测合格，任何人员不得进入有限空间作业。检测时间不得早于作业开始前30分钟。检测指标包括氧浓度、易燃易爆物质（可燃性气体、爆炸性粉尘）浓度、有毒有害气体浓度。检测人员进行检测时，应当记录检测的时间、地点、气体种类、浓度等信息，经检测人员签字后存档。②作业过程中，应当对作业场所中的危险有害因素进行定时检测或者连续监测。作业中断超过30分钟，作业人员再次进入有限空间作业前，应当重新通风、检测合格后方可进入。</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总局59号令第十二、十三、十六条等</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查看有限空间管理台账、作业方案、作业票证、检测仪器。</w:t>
            </w:r>
          </w:p>
        </w:tc>
      </w:tr>
      <w:tr w:rsidR="008B6FCD" w:rsidTr="008852CC">
        <w:trPr>
          <w:trHeight w:val="2431"/>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作业票管理</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①进入有限空间安全作业证的有效期限一般不得超过一个班次。作业期限需要延长的，延长后总的作业期限不能超过24小时。</w:t>
            </w:r>
            <w:r>
              <w:rPr>
                <w:rFonts w:ascii="宋体" w:hAnsi="宋体" w:cs="宋体" w:hint="eastAsia"/>
                <w:color w:val="000000"/>
                <w:kern w:val="0"/>
                <w:sz w:val="18"/>
                <w:szCs w:val="18"/>
              </w:rPr>
              <w:br/>
              <w:t>②《作业证》应严格执行审批、发放、延期、取消、关闭等流程。</w:t>
            </w:r>
            <w:r>
              <w:rPr>
                <w:rFonts w:ascii="宋体" w:hAnsi="宋体" w:cs="宋体" w:hint="eastAsia"/>
                <w:color w:val="000000"/>
                <w:kern w:val="0"/>
                <w:sz w:val="18"/>
                <w:szCs w:val="18"/>
              </w:rPr>
              <w:br/>
              <w:t>③《作业证》所列项目应逐项填写，安全措施栏应填写具体的安全措施。</w:t>
            </w:r>
            <w:r>
              <w:rPr>
                <w:rFonts w:ascii="宋体" w:hAnsi="宋体" w:cs="宋体" w:hint="eastAsia"/>
                <w:color w:val="000000"/>
                <w:kern w:val="0"/>
                <w:sz w:val="18"/>
                <w:szCs w:val="18"/>
              </w:rPr>
              <w:br/>
              <w:t>④一处有限空间、同一作业内容办理一张《作业证》，当有限空间工艺条件、作业环境条件改变时，应重新办理《作业证》。</w:t>
            </w:r>
            <w:r>
              <w:rPr>
                <w:rFonts w:ascii="宋体" w:hAnsi="宋体" w:cs="宋体" w:hint="eastAsia"/>
                <w:color w:val="000000"/>
                <w:kern w:val="0"/>
                <w:sz w:val="18"/>
                <w:szCs w:val="18"/>
              </w:rPr>
              <w:br/>
              <w:t>⑤《作业证》由有限空间所在单位存查，《作业证》保存期限至少为1年。</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《工贸企业有限空间作业安全规范》DB37T1933-2011/第5.3.1、5.3.2、7.3、7.4、7.5条</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查看《作业证》。</w:t>
            </w:r>
          </w:p>
        </w:tc>
      </w:tr>
      <w:tr w:rsidR="008B6FCD" w:rsidTr="008852CC">
        <w:trPr>
          <w:trHeight w:val="1014"/>
        </w:trPr>
        <w:tc>
          <w:tcPr>
            <w:tcW w:w="669"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837" w:type="dxa"/>
            <w:vMerge/>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应急救援</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作业中发生事故后，现场有关人员应当立即报警，禁止盲目施救。应急救援人员实施救援时，应当做好自身防护。</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总局59号令第二十三条；DB37T1933-2011/第6.4条</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查看应急装备、器材和演练记录。</w:t>
            </w:r>
          </w:p>
        </w:tc>
      </w:tr>
      <w:tr w:rsidR="008B6FCD" w:rsidTr="008852CC">
        <w:trPr>
          <w:trHeight w:val="1014"/>
        </w:trPr>
        <w:tc>
          <w:tcPr>
            <w:tcW w:w="669"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6</w:t>
            </w:r>
          </w:p>
        </w:tc>
        <w:tc>
          <w:tcPr>
            <w:tcW w:w="837"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有限空间安全</w:t>
            </w:r>
            <w:r>
              <w:rPr>
                <w:rFonts w:ascii="宋体" w:hAnsi="宋体" w:cs="宋体" w:hint="eastAsia"/>
                <w:color w:val="000000"/>
                <w:kern w:val="0"/>
                <w:sz w:val="18"/>
                <w:szCs w:val="18"/>
              </w:rPr>
              <w:lastRenderedPageBreak/>
              <w:t>管理</w:t>
            </w:r>
          </w:p>
        </w:tc>
        <w:tc>
          <w:tcPr>
            <w:tcW w:w="1012"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其他方面</w:t>
            </w:r>
          </w:p>
        </w:tc>
        <w:tc>
          <w:tcPr>
            <w:tcW w:w="6662"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①进行有限空间高处作业，在满足本规范要求的同时，应符合AQ3025-2008的规定，为作业者提供必需的高处作业安全条件。如佩戴安全帽、安全带等个体防护用品，</w:t>
            </w:r>
            <w:r>
              <w:rPr>
                <w:rFonts w:ascii="宋体" w:hAnsi="宋体" w:cs="宋体" w:hint="eastAsia"/>
                <w:color w:val="000000"/>
                <w:kern w:val="0"/>
                <w:sz w:val="18"/>
                <w:szCs w:val="18"/>
              </w:rPr>
              <w:lastRenderedPageBreak/>
              <w:t>作业现场搭设安全梯或安全平台等。</w:t>
            </w:r>
            <w:r>
              <w:rPr>
                <w:rFonts w:ascii="宋体" w:hAnsi="宋体" w:cs="宋体" w:hint="eastAsia"/>
                <w:color w:val="000000"/>
                <w:kern w:val="0"/>
                <w:sz w:val="18"/>
                <w:szCs w:val="18"/>
              </w:rPr>
              <w:br/>
              <w:t>②进入有限空间动火作业，在满足本文件要求的同时，应符合AQ3022-2008的规定，为作业者提供必需的动火作业安全条件。对于使用电焊、电钻、砂轮等用电类动火作业应符合5.6（电气设备与照明安全）相关要求；对于气焊、气割类等增加泄露源的动火作业时，气瓶宜置于有限空间外部，视通风口所处空间的通风情况，气瓶应处于通风口的下风侧，有限空间动火作业的气体检测需待动火作业设施和器具布置到位后方可进行；有限空间进行动火作业宜采用强制通风和连续监测。</w:t>
            </w:r>
          </w:p>
        </w:tc>
        <w:tc>
          <w:tcPr>
            <w:tcW w:w="1985" w:type="dxa"/>
            <w:tcBorders>
              <w:tl2br w:val="nil"/>
              <w:tr2bl w:val="nil"/>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《工贸企业有限空间作业安全规范》</w:t>
            </w:r>
            <w:r>
              <w:rPr>
                <w:rFonts w:ascii="宋体" w:hAnsi="宋体" w:cs="宋体" w:hint="eastAsia"/>
                <w:color w:val="000000"/>
                <w:kern w:val="0"/>
                <w:sz w:val="18"/>
                <w:szCs w:val="18"/>
              </w:rPr>
              <w:lastRenderedPageBreak/>
              <w:t>DB37T1933-2011/第5.9.7、5.9.8条</w:t>
            </w:r>
          </w:p>
        </w:tc>
        <w:tc>
          <w:tcPr>
            <w:tcW w:w="3015" w:type="dxa"/>
            <w:tcBorders>
              <w:tl2br w:val="nil"/>
              <w:tr2bl w:val="nil"/>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查看作业证、相关设备，现场检查。</w:t>
            </w:r>
          </w:p>
        </w:tc>
      </w:tr>
    </w:tbl>
    <w:p w:rsidR="008B6FCD" w:rsidRDefault="008B6FCD" w:rsidP="008B6FCD">
      <w:pPr>
        <w:spacing w:line="560" w:lineRule="exact"/>
        <w:rPr>
          <w:rFonts w:ascii="宋体" w:hAnsi="宋体"/>
        </w:rPr>
      </w:pPr>
    </w:p>
    <w:p w:rsidR="008B6FCD" w:rsidRDefault="008B6FCD" w:rsidP="008B6FCD">
      <w:pPr>
        <w:pStyle w:val="20"/>
        <w:spacing w:beforeAutospacing="0" w:afterAutospacing="0" w:line="560" w:lineRule="exact"/>
        <w:jc w:val="center"/>
        <w:rPr>
          <w:rFonts w:ascii="楷体" w:eastAsia="楷体" w:hAnsi="楷体" w:hint="default"/>
          <w:kern w:val="2"/>
          <w:sz w:val="32"/>
        </w:rPr>
      </w:pPr>
      <w:r>
        <w:br w:type="page"/>
      </w:r>
      <w:bookmarkStart w:id="1" w:name="_Toc10021748"/>
      <w:r>
        <w:rPr>
          <w:rFonts w:ascii="楷体" w:eastAsia="楷体" w:hAnsi="楷体"/>
          <w:kern w:val="2"/>
          <w:sz w:val="32"/>
        </w:rPr>
        <w:lastRenderedPageBreak/>
        <w:t>表</w:t>
      </w:r>
      <w:r>
        <w:rPr>
          <w:rFonts w:ascii="楷体" w:eastAsia="楷体" w:hAnsi="楷体" w:hint="default"/>
          <w:kern w:val="2"/>
          <w:sz w:val="32"/>
        </w:rPr>
        <w:t>2</w:t>
      </w:r>
      <w:r>
        <w:rPr>
          <w:rFonts w:ascii="楷体" w:eastAsia="楷体" w:hAnsi="楷体"/>
          <w:kern w:val="2"/>
          <w:sz w:val="32"/>
        </w:rPr>
        <w:t>： 涉爆粉尘工贸企业检查</w:t>
      </w:r>
      <w:bookmarkEnd w:id="1"/>
      <w:r>
        <w:rPr>
          <w:rFonts w:ascii="楷体" w:eastAsia="楷体" w:hAnsi="楷体"/>
          <w:kern w:val="2"/>
          <w:sz w:val="32"/>
        </w:rPr>
        <w:t>表</w:t>
      </w:r>
    </w:p>
    <w:tbl>
      <w:tblPr>
        <w:tblW w:w="14174" w:type="dxa"/>
        <w:tblLayout w:type="fixed"/>
        <w:tblLook w:val="04A0" w:firstRow="1" w:lastRow="0" w:firstColumn="1" w:lastColumn="0" w:noHBand="0" w:noVBand="1"/>
      </w:tblPr>
      <w:tblGrid>
        <w:gridCol w:w="644"/>
        <w:gridCol w:w="1026"/>
        <w:gridCol w:w="2126"/>
        <w:gridCol w:w="5950"/>
        <w:gridCol w:w="2129"/>
        <w:gridCol w:w="2299"/>
      </w:tblGrid>
      <w:tr w:rsidR="008B6FCD" w:rsidTr="008852CC">
        <w:trPr>
          <w:trHeight w:val="780"/>
          <w:tblHeader/>
        </w:trPr>
        <w:tc>
          <w:tcPr>
            <w:tcW w:w="644"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b/>
                <w:bCs/>
                <w:color w:val="000000"/>
                <w:kern w:val="0"/>
              </w:rPr>
            </w:pPr>
            <w:r>
              <w:rPr>
                <w:rFonts w:ascii="宋体" w:hAnsi="宋体" w:cs="宋体"/>
                <w:b/>
                <w:bCs/>
                <w:color w:val="000000"/>
                <w:kern w:val="0"/>
              </w:rPr>
              <w:t>序号</w:t>
            </w:r>
          </w:p>
        </w:tc>
        <w:tc>
          <w:tcPr>
            <w:tcW w:w="1026"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b/>
                <w:bCs/>
                <w:color w:val="000000"/>
                <w:kern w:val="0"/>
              </w:rPr>
            </w:pPr>
            <w:r>
              <w:rPr>
                <w:rFonts w:ascii="宋体" w:hAnsi="宋体" w:cs="宋体"/>
                <w:b/>
                <w:bCs/>
                <w:color w:val="000000"/>
                <w:kern w:val="0"/>
              </w:rPr>
              <w:t>检查项目</w:t>
            </w:r>
          </w:p>
        </w:tc>
        <w:tc>
          <w:tcPr>
            <w:tcW w:w="8076" w:type="dxa"/>
            <w:gridSpan w:val="2"/>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b/>
                <w:bCs/>
                <w:color w:val="000000"/>
                <w:kern w:val="0"/>
              </w:rPr>
            </w:pPr>
            <w:r>
              <w:rPr>
                <w:rFonts w:ascii="宋体" w:hAnsi="宋体" w:cs="宋体"/>
                <w:b/>
                <w:bCs/>
                <w:color w:val="000000"/>
                <w:kern w:val="0"/>
              </w:rPr>
              <w:t>检查内容</w:t>
            </w:r>
          </w:p>
        </w:tc>
        <w:tc>
          <w:tcPr>
            <w:tcW w:w="212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b/>
                <w:bCs/>
                <w:color w:val="000000"/>
                <w:kern w:val="0"/>
              </w:rPr>
            </w:pPr>
            <w:r>
              <w:rPr>
                <w:rFonts w:ascii="宋体" w:hAnsi="宋体" w:cs="宋体"/>
                <w:b/>
                <w:bCs/>
                <w:color w:val="000000"/>
                <w:kern w:val="0"/>
              </w:rPr>
              <w:t>检查依据</w:t>
            </w:r>
          </w:p>
        </w:tc>
        <w:tc>
          <w:tcPr>
            <w:tcW w:w="229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b/>
                <w:bCs/>
                <w:color w:val="000000"/>
                <w:kern w:val="0"/>
              </w:rPr>
            </w:pPr>
            <w:r>
              <w:rPr>
                <w:rFonts w:ascii="宋体" w:hAnsi="宋体" w:cs="宋体"/>
                <w:b/>
                <w:bCs/>
                <w:color w:val="000000"/>
                <w:kern w:val="0"/>
              </w:rPr>
              <w:t>检查方法</w:t>
            </w:r>
          </w:p>
        </w:tc>
      </w:tr>
      <w:tr w:rsidR="008B6FCD" w:rsidTr="008852CC">
        <w:trPr>
          <w:trHeight w:val="750"/>
        </w:trPr>
        <w:tc>
          <w:tcPr>
            <w:tcW w:w="644" w:type="dxa"/>
            <w:vMerge w:val="restart"/>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1</w:t>
            </w:r>
          </w:p>
        </w:tc>
        <w:tc>
          <w:tcPr>
            <w:tcW w:w="1026" w:type="dxa"/>
            <w:vMerge w:val="restart"/>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管理</w:t>
            </w:r>
          </w:p>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机构</w:t>
            </w:r>
          </w:p>
        </w:tc>
        <w:tc>
          <w:tcPr>
            <w:tcW w:w="2126" w:type="dxa"/>
            <w:vMerge w:val="restart"/>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是否设置安全生产管理机构或配备安全生产管理人员</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涉粉尘爆炸的工贸企业从业人员超过100人的，应当设置安全生产管理机构或配备专职安全生产 管理人员。</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 xml:space="preserve">《安全生产法》第二十一条 </w:t>
            </w:r>
          </w:p>
        </w:tc>
        <w:tc>
          <w:tcPr>
            <w:tcW w:w="2299" w:type="dxa"/>
            <w:vMerge w:val="restart"/>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查看员工花名册等能够证明员工数量的资料；查看机构设立、任命文件；查看资格证书；现场调查了解有关人员。</w:t>
            </w:r>
          </w:p>
        </w:tc>
      </w:tr>
      <w:tr w:rsidR="008B6FCD" w:rsidTr="008852CC">
        <w:trPr>
          <w:trHeight w:val="750"/>
        </w:trPr>
        <w:tc>
          <w:tcPr>
            <w:tcW w:w="644" w:type="dxa"/>
            <w:vMerge/>
            <w:tcBorders>
              <w:top w:val="nil"/>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nil"/>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vMerge/>
            <w:tcBorders>
              <w:top w:val="nil"/>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安全生产管理人员、注册安全工程师的配备数量应满足省政府260号令的要求。</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《山东省生产经营单位安全生产主体责任规定》第九条</w:t>
            </w:r>
          </w:p>
        </w:tc>
        <w:tc>
          <w:tcPr>
            <w:tcW w:w="2299" w:type="dxa"/>
            <w:vMerge/>
            <w:tcBorders>
              <w:top w:val="nil"/>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宋体"/>
                <w:color w:val="000000"/>
                <w:kern w:val="0"/>
                <w:sz w:val="18"/>
                <w:szCs w:val="18"/>
              </w:rPr>
            </w:pPr>
          </w:p>
        </w:tc>
      </w:tr>
      <w:tr w:rsidR="008B6FCD" w:rsidTr="008852CC">
        <w:trPr>
          <w:trHeight w:val="1622"/>
        </w:trPr>
        <w:tc>
          <w:tcPr>
            <w:tcW w:w="644" w:type="dxa"/>
            <w:vMerge/>
            <w:tcBorders>
              <w:top w:val="nil"/>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nil"/>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是否设立安委会并按规定开展工作</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从业人员在1000人以上的企业，应当建立安全生产委员会。</w:t>
            </w:r>
            <w:r>
              <w:rPr>
                <w:rFonts w:ascii="宋体" w:hAnsi="宋体" w:cs="宋体" w:hint="eastAsia"/>
                <w:color w:val="000000"/>
                <w:kern w:val="0"/>
                <w:sz w:val="18"/>
                <w:szCs w:val="18"/>
              </w:rPr>
              <w:br/>
              <w:t>安全生产委员会由本单位的主要负责人、分管安全生产的负责人或者安全总监、相关负责人、专门的安全生产管理机构及相关机构负责人、安全生产管理人员和工会代表以及从业人员代表组成。安全生产委员会每季度至少召开一次会议，会议应当有书面记录。</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《山东省生产经营单位安全生产主体责任规定》第十三条</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查看安委会成立文件；查阅安委会组成部门；查看安委会季度会议通知、纪要等资料。</w:t>
            </w:r>
          </w:p>
        </w:tc>
      </w:tr>
      <w:tr w:rsidR="008B6FCD" w:rsidTr="008852CC">
        <w:trPr>
          <w:trHeight w:val="1125"/>
        </w:trPr>
        <w:tc>
          <w:tcPr>
            <w:tcW w:w="644"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2</w:t>
            </w:r>
          </w:p>
        </w:tc>
        <w:tc>
          <w:tcPr>
            <w:tcW w:w="10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安全生产规章制度</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是否组织制定安全生产规章制度和操作规程</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企业制定的安全生产管理制度应当涵盖260号令中规定的安全生产会议等13项制度，制度中还应有粉尘定期清扫制度、除尘系统使用维护制度。</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《山东省生产经营单位安全生产主体责任规定》第七条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查看安全生产管理制度、安全操作规程以及内容设置情况。</w:t>
            </w:r>
          </w:p>
        </w:tc>
      </w:tr>
      <w:tr w:rsidR="008B6FCD" w:rsidTr="008852CC">
        <w:trPr>
          <w:trHeight w:val="1125"/>
        </w:trPr>
        <w:tc>
          <w:tcPr>
            <w:tcW w:w="644"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3</w:t>
            </w:r>
          </w:p>
        </w:tc>
        <w:tc>
          <w:tcPr>
            <w:tcW w:w="10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教育培训</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是否按规定进行全员安全生产教育培训</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对涉粉尘岗位新进从业人员、离岗６个月以上的或者换岗的从业人员,及时进行上岗前安全生产教育和培训；对在岗人员应当定期组织安全生产再教育培训活动。</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《安全生产法》第二十五条</w:t>
            </w:r>
            <w:r>
              <w:rPr>
                <w:rFonts w:ascii="宋体" w:hAnsi="宋体" w:cs="宋体" w:hint="eastAsia"/>
                <w:color w:val="000000"/>
                <w:kern w:val="0"/>
                <w:sz w:val="18"/>
                <w:szCs w:val="18"/>
              </w:rPr>
              <w:br/>
              <w:t>《山东省生产经营单位安全生产主体责任规定》第二十四条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查阅企业员工名单、培训记录、安全培训档案；现场随机抽取涉粉尘岗位3人询问培训情况。</w:t>
            </w:r>
          </w:p>
        </w:tc>
      </w:tr>
      <w:tr w:rsidR="008B6FCD" w:rsidTr="008852CC">
        <w:trPr>
          <w:trHeight w:val="1125"/>
        </w:trPr>
        <w:tc>
          <w:tcPr>
            <w:tcW w:w="64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3</w:t>
            </w:r>
          </w:p>
        </w:tc>
        <w:tc>
          <w:tcPr>
            <w:tcW w:w="10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教育培训</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培训时间是否符合法规规定</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主要负责人和安全生产管理人员初次安全培训时间不得少于32学时。每年再培训时间不得少于12学时;新上岗的从业人员，岗前安全培训时间不得少于24学时。</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《生产经营单位安全培训规定》第九条、第十三条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查阅安全培训档案</w:t>
            </w:r>
          </w:p>
        </w:tc>
      </w:tr>
      <w:tr w:rsidR="008B6FCD" w:rsidTr="008852CC">
        <w:trPr>
          <w:trHeight w:val="952"/>
        </w:trPr>
        <w:tc>
          <w:tcPr>
            <w:tcW w:w="644"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是否如实记录安全生产</w:t>
            </w:r>
            <w:r>
              <w:rPr>
                <w:rFonts w:ascii="宋体" w:hAnsi="宋体" w:cs="宋体" w:hint="eastAsia"/>
                <w:color w:val="000000"/>
                <w:kern w:val="0"/>
                <w:sz w:val="18"/>
                <w:szCs w:val="18"/>
              </w:rPr>
              <w:lastRenderedPageBreak/>
              <w:t>教育和培训情况</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lastRenderedPageBreak/>
              <w:t>生产经营单位应当建立安全生产教育和培训档案，如实记录安全生产教育</w:t>
            </w:r>
            <w:r>
              <w:rPr>
                <w:rFonts w:ascii="宋体" w:hAnsi="宋体" w:cs="宋体" w:hint="eastAsia"/>
                <w:color w:val="000000"/>
                <w:kern w:val="0"/>
                <w:sz w:val="18"/>
                <w:szCs w:val="18"/>
              </w:rPr>
              <w:lastRenderedPageBreak/>
              <w:t>和培训的时间、内容、参加人员以及考核结果等情况。</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lastRenderedPageBreak/>
              <w:t>《安全生产法》第二十五</w:t>
            </w:r>
            <w:r>
              <w:rPr>
                <w:rFonts w:ascii="宋体" w:hAnsi="宋体" w:cs="宋体" w:hint="eastAsia"/>
                <w:color w:val="000000"/>
                <w:kern w:val="0"/>
                <w:sz w:val="18"/>
                <w:szCs w:val="18"/>
              </w:rPr>
              <w:lastRenderedPageBreak/>
              <w:t>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lastRenderedPageBreak/>
              <w:t>查阅教育培训档案，查看记</w:t>
            </w:r>
            <w:r>
              <w:rPr>
                <w:rFonts w:ascii="宋体" w:hAnsi="宋体" w:cs="宋体" w:hint="eastAsia"/>
                <w:color w:val="000000"/>
                <w:kern w:val="0"/>
                <w:sz w:val="18"/>
                <w:szCs w:val="18"/>
              </w:rPr>
              <w:lastRenderedPageBreak/>
              <w:t>录是否齐全。</w:t>
            </w:r>
          </w:p>
        </w:tc>
      </w:tr>
      <w:tr w:rsidR="008B6FCD" w:rsidTr="008852CC">
        <w:trPr>
          <w:trHeight w:val="750"/>
        </w:trPr>
        <w:tc>
          <w:tcPr>
            <w:tcW w:w="644"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特种作业人员是否持证上岗</w:t>
            </w:r>
          </w:p>
        </w:tc>
        <w:tc>
          <w:tcPr>
            <w:tcW w:w="5950"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生产经营单位的特种作业人员必须按照国家有关规定经专门的安全作业培训，取得相应资格，方可上岗作业。</w:t>
            </w:r>
          </w:p>
        </w:tc>
        <w:tc>
          <w:tcPr>
            <w:tcW w:w="212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《安全生产法》第二十七条</w:t>
            </w:r>
          </w:p>
        </w:tc>
        <w:tc>
          <w:tcPr>
            <w:tcW w:w="229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查阅特种作业人员档案；特种作业人员资格证书。</w:t>
            </w:r>
          </w:p>
        </w:tc>
      </w:tr>
      <w:tr w:rsidR="008B6FCD" w:rsidTr="008852CC">
        <w:trPr>
          <w:trHeight w:val="1500"/>
        </w:trPr>
        <w:tc>
          <w:tcPr>
            <w:tcW w:w="644" w:type="dxa"/>
            <w:vMerge w:val="restart"/>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4</w:t>
            </w:r>
          </w:p>
        </w:tc>
        <w:tc>
          <w:tcPr>
            <w:tcW w:w="1026" w:type="dxa"/>
            <w:vMerge w:val="restart"/>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应急管理</w:t>
            </w: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应急预案编制</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生产经营单位应当制定本单位生产安全事故应急预案；生产经营单位应急预案分为综合应急预案、专项应急预案和现场处置方案；对于涉爆粉尘等危险性较大的场所、装置或者设施，生产经营单位应当编制现场处置方案。</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《安全生产法》第七十八条</w:t>
            </w:r>
            <w:r>
              <w:rPr>
                <w:rFonts w:ascii="宋体" w:hAnsi="宋体" w:cs="宋体" w:hint="eastAsia"/>
                <w:color w:val="000000"/>
                <w:kern w:val="0"/>
                <w:sz w:val="18"/>
                <w:szCs w:val="18"/>
              </w:rPr>
              <w:br/>
              <w:t>《生产安全事故应急预案管理办法》第六条、第十五条</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查看应急救援预案文本、备案回执、评审或论证材料。</w:t>
            </w:r>
          </w:p>
        </w:tc>
      </w:tr>
      <w:tr w:rsidR="008B6FCD" w:rsidTr="008852CC">
        <w:trPr>
          <w:trHeight w:val="1125"/>
        </w:trPr>
        <w:tc>
          <w:tcPr>
            <w:tcW w:w="644" w:type="dxa"/>
            <w:vMerge/>
            <w:tcBorders>
              <w:top w:val="nil"/>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nil"/>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 xml:space="preserve"> 应急演练</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生产经营单位应当定期组织演练；每年至少组织一次综合应急预案演练或者专项应急预案演练，每半年至少组织一次现场处置方案演练。</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《安全生产法》第七十八条</w:t>
            </w:r>
            <w:r>
              <w:rPr>
                <w:rFonts w:ascii="宋体" w:hAnsi="宋体" w:cs="宋体" w:hint="eastAsia"/>
                <w:color w:val="000000"/>
                <w:kern w:val="0"/>
                <w:sz w:val="18"/>
                <w:szCs w:val="18"/>
              </w:rPr>
              <w:br/>
              <w:t>《生产安全事故应急预案管理办法》第三十三条</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查阅演练计划、演练记录、演练照片、演练评估报告等。</w:t>
            </w:r>
          </w:p>
        </w:tc>
      </w:tr>
      <w:tr w:rsidR="008B6FCD" w:rsidTr="008852CC">
        <w:trPr>
          <w:trHeight w:val="899"/>
        </w:trPr>
        <w:tc>
          <w:tcPr>
            <w:tcW w:w="644" w:type="dxa"/>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5</w:t>
            </w:r>
          </w:p>
        </w:tc>
        <w:tc>
          <w:tcPr>
            <w:tcW w:w="10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警示标志</w:t>
            </w: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是否在有关设备、设施上设置警示标志</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生产经营单位应当在有粉尘爆炸危险因素的生产经营场所和除尘器、风管等设备上设置明显的安全警示标志。</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《安全生产法》第三十二条</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查阅警示标志一览表、现场查看。</w:t>
            </w:r>
          </w:p>
        </w:tc>
      </w:tr>
      <w:tr w:rsidR="008B6FCD" w:rsidTr="008852CC">
        <w:trPr>
          <w:trHeight w:val="712"/>
        </w:trPr>
        <w:tc>
          <w:tcPr>
            <w:tcW w:w="644" w:type="dxa"/>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6</w:t>
            </w:r>
          </w:p>
        </w:tc>
        <w:tc>
          <w:tcPr>
            <w:tcW w:w="10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劳动防护用品</w:t>
            </w: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是否按标准配发并正确佩戴劳保用用品</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未为从业人员提供符合国家标准或者行业标准的劳动防护用品;从业人员未按使用规则佩戴、使用劳动防护用品。</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《安全生产法》第四十二条</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查阅劳动防护用品配备标准、发放台账。</w:t>
            </w:r>
          </w:p>
        </w:tc>
      </w:tr>
      <w:tr w:rsidR="008B6FCD" w:rsidTr="008852CC">
        <w:trPr>
          <w:trHeight w:val="1125"/>
        </w:trPr>
        <w:tc>
          <w:tcPr>
            <w:tcW w:w="644" w:type="dxa"/>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7</w:t>
            </w:r>
          </w:p>
        </w:tc>
        <w:tc>
          <w:tcPr>
            <w:tcW w:w="10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危险作业</w:t>
            </w: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危险作业是否按规定办理作业审批手续</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进行危险场所动火、有限空间等作业的，应按批准权限由相关负责人现场带班，确定专人进行现场作业的统一指挥，由专职安全员进行现场安全检查和监督， 并由具有专业资质的人员实施作业。</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《山东省生产经营单位安全生产主体责任规定》第三十一条</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查阅危险作业票</w:t>
            </w:r>
          </w:p>
        </w:tc>
      </w:tr>
      <w:tr w:rsidR="008B6FCD" w:rsidTr="008852CC">
        <w:trPr>
          <w:trHeight w:val="3168"/>
        </w:trPr>
        <w:tc>
          <w:tcPr>
            <w:tcW w:w="644" w:type="dxa"/>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8</w:t>
            </w:r>
          </w:p>
        </w:tc>
        <w:tc>
          <w:tcPr>
            <w:tcW w:w="10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建构筑物</w:t>
            </w: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建构筑物结构及安全间距是否合规</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①建筑物宜为单层建筑，屋顶宜用轻型结构。</w:t>
            </w:r>
            <w:r>
              <w:rPr>
                <w:rFonts w:ascii="宋体" w:hAnsi="宋体" w:cs="宋体" w:hint="eastAsia"/>
                <w:color w:val="000000"/>
                <w:kern w:val="0"/>
                <w:sz w:val="18"/>
                <w:szCs w:val="18"/>
              </w:rPr>
              <w:br/>
              <w:t>②多层建筑物宜采用框架结构；不能使用框架结构的建筑物应在墙上设置符合要求的泄爆口，泄压（口）的朝向应避开人员密集场所和主要交通道路。</w:t>
            </w:r>
            <w:r>
              <w:rPr>
                <w:rFonts w:ascii="宋体" w:hAnsi="宋体" w:cs="宋体" w:hint="eastAsia"/>
                <w:color w:val="000000"/>
                <w:kern w:val="0"/>
                <w:sz w:val="18"/>
                <w:szCs w:val="18"/>
              </w:rPr>
              <w:br/>
              <w:t>③厂房建筑物内设有粉尘涉爆生产加工区，建筑物与居民区、教育、医院、</w:t>
            </w:r>
            <w:r>
              <w:rPr>
                <w:rFonts w:ascii="宋体" w:hAnsi="宋体" w:cs="宋体" w:hint="eastAsia"/>
                <w:color w:val="000000"/>
                <w:kern w:val="0"/>
                <w:sz w:val="18"/>
                <w:szCs w:val="18"/>
              </w:rPr>
              <w:lastRenderedPageBreak/>
              <w:t>商业等重要公共建筑之间的防火间距≥50m，与民用建筑之间的防火间距≥25m，与明火或散发火花地点宜＞30m。</w:t>
            </w:r>
            <w:r>
              <w:rPr>
                <w:rFonts w:ascii="宋体" w:hAnsi="宋体" w:cs="宋体" w:hint="eastAsia"/>
                <w:color w:val="000000"/>
                <w:kern w:val="0"/>
                <w:sz w:val="18"/>
                <w:szCs w:val="18"/>
              </w:rPr>
              <w:br/>
              <w:t>④粉尘爆炸危险的区域不得设置办公室、会议室、休息室、危险化学品仓库等。</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《粉尘防爆安全规程》(GB15577-2007)第5.1、5.2、5.3、5.4、5.5条；</w:t>
            </w:r>
            <w:r>
              <w:rPr>
                <w:rFonts w:ascii="宋体" w:hAnsi="宋体" w:cs="宋体" w:hint="eastAsia"/>
                <w:color w:val="000000"/>
                <w:kern w:val="0"/>
                <w:sz w:val="18"/>
                <w:szCs w:val="18"/>
              </w:rPr>
              <w:br/>
              <w:t>《建筑设计防火规范》(GB50016-2014)第3.4.1</w:t>
            </w:r>
            <w:r>
              <w:rPr>
                <w:rFonts w:ascii="宋体" w:hAnsi="宋体" w:cs="宋体" w:hint="eastAsia"/>
                <w:color w:val="000000"/>
                <w:kern w:val="0"/>
                <w:sz w:val="18"/>
                <w:szCs w:val="18"/>
              </w:rPr>
              <w:lastRenderedPageBreak/>
              <w:t>条。</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检查企业平面布置图、消防验收手续。现场查看建构筑物结构与布局，建构筑物及设备的安全间距是否符合要求，询问员工相关情况。</w:t>
            </w:r>
          </w:p>
        </w:tc>
      </w:tr>
      <w:tr w:rsidR="008B6FCD" w:rsidTr="008852CC">
        <w:trPr>
          <w:trHeight w:val="3000"/>
        </w:trPr>
        <w:tc>
          <w:tcPr>
            <w:tcW w:w="644" w:type="dxa"/>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9</w:t>
            </w:r>
          </w:p>
        </w:tc>
        <w:tc>
          <w:tcPr>
            <w:tcW w:w="10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安全出口与警示标志</w:t>
            </w: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是否按规定设置应急出口、疏散通道等</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①生产经营场所应当设有符合紧急疏散要求的应急门、疏散通道、应急照明、标志明显，应保持安全通道畅通，不得堆放任何物品，应符合(GB50016-2014)的相关规定。</w:t>
            </w:r>
            <w:r>
              <w:rPr>
                <w:rFonts w:ascii="宋体" w:hAnsi="宋体" w:cs="宋体" w:hint="eastAsia"/>
                <w:color w:val="000000"/>
                <w:kern w:val="0"/>
                <w:sz w:val="18"/>
                <w:szCs w:val="18"/>
              </w:rPr>
              <w:br/>
              <w:t>②爆炸危险区域应设有两个以上安全出口，其中至少有一个通向非爆炸危险区域，其安全出口的门应当向爆炸危险性较小的区域侧开启。</w:t>
            </w:r>
            <w:r>
              <w:rPr>
                <w:rFonts w:ascii="宋体" w:hAnsi="宋体" w:cs="宋体" w:hint="eastAsia"/>
                <w:color w:val="000000"/>
                <w:kern w:val="0"/>
                <w:sz w:val="18"/>
                <w:szCs w:val="18"/>
              </w:rPr>
              <w:br/>
              <w:t>③生产经营单位应当在有粉尘爆炸危险因素的生产经营场所和除尘器、风管等设备上设置明显的安全警示标志。</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《安全生产法》第三十九条；《爆炸危险环境电力装置设计规范》（GB 50058）第4.1.4条；《建筑设计防火规范》(GB50016) 3.7.2条。《安全生产法》第三十二条</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查看安全警示标志一览表及检查记录。现场查看疏散通道、安全出口、应急照明设置情况是否符合要求，询问员工检查情况。</w:t>
            </w:r>
          </w:p>
        </w:tc>
      </w:tr>
      <w:tr w:rsidR="008B6FCD" w:rsidTr="008852CC">
        <w:trPr>
          <w:trHeight w:val="3000"/>
        </w:trPr>
        <w:tc>
          <w:tcPr>
            <w:tcW w:w="644"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10</w:t>
            </w:r>
          </w:p>
        </w:tc>
        <w:tc>
          <w:tcPr>
            <w:tcW w:w="10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防爆防雷防静电</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rPr>
                <w:rFonts w:ascii="宋体" w:hAnsi="宋体" w:cs="宋体"/>
                <w:color w:val="000000"/>
                <w:kern w:val="0"/>
                <w:sz w:val="18"/>
                <w:szCs w:val="18"/>
              </w:rPr>
            </w:pPr>
            <w:r>
              <w:rPr>
                <w:rFonts w:ascii="宋体" w:hAnsi="宋体" w:cs="宋体" w:hint="eastAsia"/>
                <w:color w:val="000000"/>
                <w:kern w:val="0"/>
                <w:sz w:val="18"/>
                <w:szCs w:val="18"/>
              </w:rPr>
              <w:t>粉尘燃爆性场所防爆电气使用情况</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①企业应正确划分爆炸危险区域，根据不同的防爆等级，采用相应的粉尘防爆型电气设备及线路，表面及内部无积尘。粉尘燃爆环境插座开口的一面应朝下，且与垂直面的角度不应大于60度。</w:t>
            </w:r>
            <w:r>
              <w:rPr>
                <w:rFonts w:ascii="宋体" w:hAnsi="宋体" w:cs="宋体" w:hint="eastAsia"/>
                <w:color w:val="000000"/>
                <w:kern w:val="0"/>
                <w:sz w:val="18"/>
                <w:szCs w:val="18"/>
              </w:rPr>
              <w:br/>
              <w:t>②20、21、22区的电气设备必须符合GB 12476.1、GB 12476.2规定的防爆类型和级别要求；电气设备的铭牌标识清楚，有防爆标志、防爆合格证号，外壳无裂缝、损伤，电机不得漏油。③粉尘爆炸危险场所电气设备应进行保护接地，除尘系统的风管不得作为电气设备的接地导体。</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《爆炸危险环境电力装置设计规范》GB50058）第4.1.4.7；5.1.1.6</w:t>
            </w:r>
            <w:r>
              <w:rPr>
                <w:rFonts w:ascii="宋体" w:hAnsi="宋体" w:cs="宋体" w:hint="eastAsia"/>
                <w:color w:val="000000"/>
                <w:kern w:val="0"/>
                <w:sz w:val="18"/>
                <w:szCs w:val="18"/>
              </w:rPr>
              <w:br/>
              <w:t>《防止静电事故通用导则》GB12158）6.2.3；《粉尘爆炸危险场所用除尘系统安全技术规范》（AQ4273）第10, 4.2、4.3条；可燃性粉尘场所用电设备（GB12476.2）第6.4</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检查企业防爆区域图，电气设备（变电室、配电柜（箱）、开关箱插座）防爆合格证等档案。现场检查防爆区域内电气设备是否符合防爆要求。</w:t>
            </w:r>
          </w:p>
        </w:tc>
      </w:tr>
      <w:tr w:rsidR="008B6FCD" w:rsidTr="008852CC">
        <w:trPr>
          <w:trHeight w:val="960"/>
        </w:trPr>
        <w:tc>
          <w:tcPr>
            <w:tcW w:w="64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10</w:t>
            </w:r>
          </w:p>
        </w:tc>
        <w:tc>
          <w:tcPr>
            <w:tcW w:w="10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防爆防雷</w:t>
            </w:r>
            <w:r>
              <w:rPr>
                <w:rFonts w:ascii="宋体" w:hAnsi="宋体" w:cs="宋体" w:hint="eastAsia"/>
                <w:color w:val="000000"/>
                <w:kern w:val="0"/>
                <w:sz w:val="18"/>
                <w:szCs w:val="18"/>
              </w:rPr>
              <w:lastRenderedPageBreak/>
              <w:t>防静电</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20、21、22区照明、配</w:t>
            </w:r>
            <w:r>
              <w:rPr>
                <w:rFonts w:ascii="宋体" w:hAnsi="宋体" w:cs="宋体" w:hint="eastAsia"/>
                <w:color w:val="000000"/>
                <w:kern w:val="0"/>
                <w:sz w:val="18"/>
                <w:szCs w:val="18"/>
              </w:rPr>
              <w:lastRenderedPageBreak/>
              <w:t>电箱柜、开盖、插座等电器设施是否合规</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在爆炸性粉尘环境内，应尽量减少插座和局部照明灯具的数量。如需采用</w:t>
            </w:r>
            <w:r>
              <w:rPr>
                <w:rFonts w:ascii="宋体" w:hAnsi="宋体" w:cs="宋体" w:hint="eastAsia"/>
                <w:color w:val="000000"/>
                <w:kern w:val="0"/>
                <w:sz w:val="18"/>
                <w:szCs w:val="18"/>
              </w:rPr>
              <w:lastRenderedPageBreak/>
              <w:t>时，应使用尘密型防爆照明灯具、配电箱柜、开关和插座，插座宜布置在爆炸性粉尘不易积聚的地点，局部宜布置在事故气流不易冲击的位置。</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《爆炸危险环境电力装</w:t>
            </w:r>
            <w:r>
              <w:rPr>
                <w:rFonts w:ascii="宋体" w:hAnsi="宋体" w:cs="宋体" w:hint="eastAsia"/>
                <w:color w:val="000000"/>
                <w:kern w:val="0"/>
                <w:sz w:val="18"/>
                <w:szCs w:val="18"/>
              </w:rPr>
              <w:lastRenderedPageBreak/>
              <w:t>置设计规范》（GB50058-2014）第5.1.1.6条。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现场检查插座及灯具等电</w:t>
            </w:r>
            <w:r>
              <w:rPr>
                <w:rFonts w:ascii="宋体" w:hAnsi="宋体" w:cs="宋体" w:hint="eastAsia"/>
                <w:color w:val="000000"/>
                <w:kern w:val="0"/>
                <w:sz w:val="18"/>
                <w:szCs w:val="18"/>
              </w:rPr>
              <w:lastRenderedPageBreak/>
              <w:t>器设施符合情况。</w:t>
            </w:r>
          </w:p>
        </w:tc>
      </w:tr>
      <w:tr w:rsidR="008B6FCD" w:rsidTr="008852CC">
        <w:trPr>
          <w:trHeight w:val="1125"/>
        </w:trPr>
        <w:tc>
          <w:tcPr>
            <w:tcW w:w="644" w:type="dxa"/>
            <w:vMerge/>
            <w:tcBorders>
              <w:top w:val="single" w:sz="4" w:space="0" w:color="auto"/>
              <w:left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single" w:sz="4" w:space="0" w:color="auto"/>
              <w:left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燃爆性粉尘场所电气管线布设是否规范、有序</w:t>
            </w:r>
          </w:p>
        </w:tc>
        <w:tc>
          <w:tcPr>
            <w:tcW w:w="5950"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燃爆性粉尘场所电气布线应敷设在钢管中；管线穿墙及楼板时，孔洞应采用非可燃性填料严密堵塞。</w:t>
            </w:r>
          </w:p>
        </w:tc>
        <w:tc>
          <w:tcPr>
            <w:tcW w:w="212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《爆炸危险环境电力装置设计规范》（GB50058-2014）第5.4.3.2条。</w:t>
            </w:r>
          </w:p>
        </w:tc>
        <w:tc>
          <w:tcPr>
            <w:tcW w:w="229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现场检查电气线路符合情况。</w:t>
            </w:r>
          </w:p>
        </w:tc>
      </w:tr>
      <w:tr w:rsidR="008B6FCD" w:rsidTr="008852CC">
        <w:trPr>
          <w:trHeight w:val="1749"/>
        </w:trPr>
        <w:tc>
          <w:tcPr>
            <w:tcW w:w="644" w:type="dxa"/>
            <w:vMerge/>
            <w:tcBorders>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防雷系统设置及年度检测报告</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①粉尘爆炸危险作业场所的厂房（建构筑物）应按规定设置防雷系统，并可靠接地。</w:t>
            </w:r>
            <w:r>
              <w:rPr>
                <w:rFonts w:ascii="宋体" w:hAnsi="宋体" w:cs="宋体" w:hint="eastAsia"/>
                <w:color w:val="000000"/>
                <w:kern w:val="0"/>
                <w:sz w:val="18"/>
                <w:szCs w:val="18"/>
              </w:rPr>
              <w:br/>
              <w:t>②粉尘爆炸危险场所除尘系统应采取防静电的措施，所有金属管道可靠连通。防静电接地线不得利用电源零线和防雷接地线共用；</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《粉尘防爆安全规程》(GB15577-2007)第6.3.2条；《防止静电事故通用导则》（GB12158）6.2.3</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查文件:防雷、防静电检测报告。现场检查静电接地及跨接情况。</w:t>
            </w:r>
          </w:p>
        </w:tc>
      </w:tr>
      <w:tr w:rsidR="008B6FCD" w:rsidTr="008852CC">
        <w:trPr>
          <w:trHeight w:val="3875"/>
        </w:trPr>
        <w:tc>
          <w:tcPr>
            <w:tcW w:w="644" w:type="dxa"/>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11</w:t>
            </w:r>
          </w:p>
        </w:tc>
        <w:tc>
          <w:tcPr>
            <w:tcW w:w="1026" w:type="dxa"/>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除尘系统</w:t>
            </w: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防止摩擦、碰撞火花装置是否完好、有效</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 xml:space="preserve">①在粉碎、研磨、造粒等易产生机械点火源的进料处，应安装能除去混入料中杂物的磁选、气动分离器或筛子，防止杂物与设备碰撞，磁选器应每班定期清理干净并保存清理记录； </w:t>
            </w:r>
            <w:r>
              <w:rPr>
                <w:rFonts w:ascii="宋体" w:hAnsi="宋体" w:cs="宋体" w:hint="eastAsia"/>
                <w:color w:val="000000"/>
                <w:kern w:val="0"/>
                <w:sz w:val="18"/>
                <w:szCs w:val="18"/>
              </w:rPr>
              <w:br/>
              <w:t>②应采取有效措施防止铝、镁、钛、锆等金属粉末或含有这些金属的粉末与锈钢摩擦产生火花；</w:t>
            </w:r>
            <w:r>
              <w:rPr>
                <w:rFonts w:ascii="宋体" w:hAnsi="宋体" w:cs="宋体" w:hint="eastAsia"/>
                <w:color w:val="000000"/>
                <w:kern w:val="0"/>
                <w:sz w:val="18"/>
                <w:szCs w:val="18"/>
              </w:rPr>
              <w:br/>
              <w:t xml:space="preserve">③没有与明火作业等效的保护措施。不应使用旋转磨轮和旋转切盘进行研磨和切割； </w:t>
            </w:r>
            <w:r>
              <w:rPr>
                <w:rFonts w:ascii="宋体" w:hAnsi="宋体" w:cs="宋体" w:hint="eastAsia"/>
                <w:color w:val="000000"/>
                <w:kern w:val="0"/>
                <w:sz w:val="18"/>
                <w:szCs w:val="18"/>
              </w:rPr>
              <w:br/>
              <w:t>④粉尘爆炸危险场所采用防碰撞火花作业工具；</w:t>
            </w:r>
            <w:r>
              <w:rPr>
                <w:rFonts w:ascii="宋体" w:hAnsi="宋体" w:cs="宋体" w:hint="eastAsia"/>
                <w:color w:val="000000"/>
                <w:kern w:val="0"/>
                <w:sz w:val="18"/>
                <w:szCs w:val="18"/>
              </w:rPr>
              <w:br/>
              <w:t>⑤存在经由吸尘罩或吸尘柜吸入火花危险的风管，应采用阻隔火花进入风管及除尘器的措施。宜在风管上安装火花探测报警装置、火花熄灭装置，且两者应联锁保护。如：木制品加工企业与砂光机连接的风管必须安装以上装置。</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《粉尘防爆安全规程》(GB15577-2007) 第6.4.1、6.4.2、6.4.3、6.4.4条；《粉尘爆炸危险场所用除尘系统安全技术规范》（AQ4273-2016）第4.7；6.3条；《木材加工系统粉尘防爆安全规范》（AQ4228）第6.2.1.2。</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查看定期清理记录，打开磁选器现场查看。</w:t>
            </w:r>
            <w:r>
              <w:rPr>
                <w:rFonts w:ascii="宋体" w:hAnsi="宋体" w:cs="宋体" w:hint="eastAsia"/>
                <w:color w:val="000000"/>
                <w:kern w:val="0"/>
                <w:sz w:val="18"/>
                <w:szCs w:val="18"/>
              </w:rPr>
              <w:br/>
              <w:t>了解企业风管及火花探测报警、熄灭装置等等防爆装置设置情况、合格证及竣工验收相关资料，现场检查符合情况。</w:t>
            </w:r>
          </w:p>
        </w:tc>
      </w:tr>
      <w:tr w:rsidR="008B6FCD" w:rsidTr="008852CC">
        <w:trPr>
          <w:trHeight w:val="4017"/>
        </w:trPr>
        <w:tc>
          <w:tcPr>
            <w:tcW w:w="64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11</w:t>
            </w:r>
          </w:p>
        </w:tc>
        <w:tc>
          <w:tcPr>
            <w:tcW w:w="10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除尘系统</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除尘系统是否按规定分布及分区设置情况</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①除尘器布置应远离明火≥25米，应按生产工艺分片（分区域）设置相对独立的除尘系统，并保证除尘系统有足够的风量，风管中不应有粉尘沉降。</w:t>
            </w:r>
            <w:r>
              <w:rPr>
                <w:rFonts w:ascii="宋体" w:hAnsi="宋体" w:cs="宋体" w:hint="eastAsia"/>
                <w:color w:val="000000"/>
                <w:kern w:val="0"/>
                <w:sz w:val="18"/>
                <w:szCs w:val="18"/>
              </w:rPr>
              <w:br/>
              <w:t>②可燃性粉尘与可燃气体等易加剧爆炸危险的介质不得共用一套除尘系统，不同防火分区的除尘系统不得互联互通。</w:t>
            </w:r>
            <w:r>
              <w:rPr>
                <w:rFonts w:ascii="宋体" w:hAnsi="宋体" w:cs="宋体" w:hint="eastAsia"/>
                <w:color w:val="000000"/>
                <w:kern w:val="0"/>
                <w:sz w:val="18"/>
                <w:szCs w:val="18"/>
              </w:rPr>
              <w:br/>
              <w:t>③铝镁粉尘及木粉尘除尘器应在负压下工作，其它除尘系统若采用正压吹送粉尘，则应采取可靠的防范点燃源的措施。</w:t>
            </w:r>
            <w:r>
              <w:rPr>
                <w:rFonts w:ascii="宋体" w:hAnsi="宋体" w:cs="宋体" w:hint="eastAsia"/>
                <w:color w:val="000000"/>
                <w:kern w:val="0"/>
                <w:sz w:val="18"/>
                <w:szCs w:val="18"/>
              </w:rPr>
              <w:br/>
              <w:t>④除尘系统不应采用粉尘沉降室除尘，不应采用干式巷道式构筑物作为除尘风道。</w:t>
            </w:r>
            <w:r>
              <w:rPr>
                <w:rFonts w:ascii="宋体" w:hAnsi="宋体" w:cs="宋体" w:hint="eastAsia"/>
                <w:color w:val="000000"/>
                <w:kern w:val="0"/>
                <w:sz w:val="18"/>
                <w:szCs w:val="18"/>
              </w:rPr>
              <w:br/>
              <w:t>⑤净化有爆炸危险粉尘的干式除尘器宜安装在室外，室外除尘器进风管应与建筑外墙保持90度、或180度夹角的除尘器侧面、顶部或正面位置，进风管弯头处设置卸爆口且不朝向厂房建筑物内部；</w:t>
            </w:r>
            <w:r>
              <w:rPr>
                <w:rFonts w:ascii="宋体" w:hAnsi="宋体" w:cs="宋体" w:hint="eastAsia"/>
                <w:color w:val="000000"/>
                <w:kern w:val="0"/>
                <w:sz w:val="18"/>
                <w:szCs w:val="18"/>
              </w:rPr>
              <w:br/>
              <w:t>除尘器若布置在室内应满足AQ4273-2016第11.2相关要求。</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《建筑设计防火规范》(GB50016-2014)第9.3.6条；</w:t>
            </w:r>
            <w:r>
              <w:rPr>
                <w:rFonts w:ascii="宋体" w:hAnsi="宋体" w:cs="宋体" w:hint="eastAsia"/>
                <w:color w:val="000000"/>
                <w:kern w:val="0"/>
                <w:sz w:val="18"/>
                <w:szCs w:val="18"/>
              </w:rPr>
              <w:br/>
              <w:t>《粉尘防爆安全规程》（GB15577-2007） 第6.6条。</w:t>
            </w:r>
            <w:r>
              <w:rPr>
                <w:rFonts w:ascii="宋体" w:hAnsi="宋体" w:cs="宋体" w:hint="eastAsia"/>
                <w:color w:val="000000"/>
                <w:kern w:val="0"/>
                <w:sz w:val="18"/>
                <w:szCs w:val="18"/>
              </w:rPr>
              <w:br/>
              <w:t>《粉尘爆炸危险场所用除尘系统安全技术规范》（AQ4273-2016）第11.2、11.3、11.4、4.1、4.5、4.6条。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查文件：除尘器设计、安装单位资质；现场检查除尘系统符合情况。</w:t>
            </w:r>
          </w:p>
        </w:tc>
      </w:tr>
      <w:tr w:rsidR="008B6FCD" w:rsidTr="008852CC">
        <w:trPr>
          <w:trHeight w:val="3375"/>
        </w:trPr>
        <w:tc>
          <w:tcPr>
            <w:tcW w:w="644"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干式除尘系统是否选用降低爆炸危险的泄爆、隔爆、惰化、抑爆等中的一种或多种防爆装置</w:t>
            </w:r>
            <w:r>
              <w:rPr>
                <w:rFonts w:ascii="宋体" w:hAnsi="宋体" w:cs="宋体" w:hint="eastAsia"/>
                <w:color w:val="000000"/>
                <w:kern w:val="0"/>
                <w:sz w:val="18"/>
                <w:szCs w:val="18"/>
              </w:rPr>
              <w:br/>
              <w:t>卸压口及导管布设是否合规</w:t>
            </w:r>
          </w:p>
        </w:tc>
        <w:tc>
          <w:tcPr>
            <w:tcW w:w="5950"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①存在粉尘爆炸危险的干式除尘系统（包括除尘器、除尘器进风管）、粉体加工设备、料仓、斗式提升机等设备设施必须按规范采用泄爆、隔爆、惰化、抑爆等控爆措施。</w:t>
            </w:r>
            <w:r>
              <w:rPr>
                <w:rFonts w:ascii="宋体" w:hAnsi="宋体" w:cs="宋体" w:hint="eastAsia"/>
                <w:color w:val="000000"/>
                <w:kern w:val="0"/>
                <w:sz w:val="18"/>
                <w:szCs w:val="18"/>
              </w:rPr>
              <w:br/>
              <w:t>②除尘器、过滤器、管道等应设置泄压装置，泄爆口应按规定设置，并布置在系统的负压段。</w:t>
            </w:r>
            <w:r>
              <w:rPr>
                <w:rFonts w:ascii="宋体" w:hAnsi="宋体" w:cs="宋体" w:hint="eastAsia"/>
                <w:color w:val="000000"/>
                <w:kern w:val="0"/>
                <w:sz w:val="18"/>
                <w:szCs w:val="18"/>
              </w:rPr>
              <w:br/>
              <w:t>③干式除尘器如安装在室内，其泄爆导管应直通室外，且长度小于3m，泄压面的轴线与导管夹角应≤20°。</w:t>
            </w:r>
            <w:r>
              <w:rPr>
                <w:rFonts w:ascii="宋体" w:hAnsi="宋体" w:cs="宋体" w:hint="eastAsia"/>
                <w:color w:val="000000"/>
                <w:kern w:val="0"/>
                <w:sz w:val="18"/>
                <w:szCs w:val="18"/>
              </w:rPr>
              <w:br/>
              <w:t>④存在爆炸危险的设备的泄压装置泄压口应通往室外安全区域。若泄压装置泄压口设在厂房内，应采用无火焰泄压装置。</w:t>
            </w:r>
          </w:p>
        </w:tc>
        <w:tc>
          <w:tcPr>
            <w:tcW w:w="212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《建筑设计防火规范》（GB50016-2014）第9.3.7、3.8条。</w:t>
            </w:r>
            <w:r>
              <w:rPr>
                <w:rFonts w:ascii="宋体" w:hAnsi="宋体" w:cs="宋体" w:hint="eastAsia"/>
                <w:color w:val="000000"/>
                <w:kern w:val="0"/>
                <w:sz w:val="18"/>
                <w:szCs w:val="18"/>
              </w:rPr>
              <w:br/>
              <w:t>《粉尘爆炸危险场所用除尘系统安全技术规范》（AQ4273-2016）第4.2；9；11条。</w:t>
            </w:r>
            <w:r>
              <w:rPr>
                <w:rFonts w:ascii="宋体" w:hAnsi="宋体" w:cs="宋体" w:hint="eastAsia"/>
                <w:color w:val="000000"/>
                <w:kern w:val="0"/>
                <w:sz w:val="18"/>
                <w:szCs w:val="18"/>
              </w:rPr>
              <w:br/>
              <w:t>《粉尘爆炸泄压指南》（GB/T15605）第9；6.1.6条。</w:t>
            </w:r>
          </w:p>
        </w:tc>
        <w:tc>
          <w:tcPr>
            <w:tcW w:w="229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现场检查：干式除尘器和过滤器的布置情况及安全间距。</w:t>
            </w:r>
            <w:r>
              <w:rPr>
                <w:rFonts w:ascii="宋体" w:hAnsi="宋体" w:cs="宋体" w:hint="eastAsia"/>
                <w:color w:val="000000"/>
                <w:kern w:val="0"/>
                <w:sz w:val="18"/>
                <w:szCs w:val="18"/>
              </w:rPr>
              <w:br/>
              <w:t>除尘器、管道的泄压装置及布置情况。</w:t>
            </w:r>
            <w:r>
              <w:rPr>
                <w:rFonts w:ascii="宋体" w:hAnsi="宋体" w:cs="宋体" w:hint="eastAsia"/>
                <w:color w:val="000000"/>
                <w:kern w:val="0"/>
                <w:sz w:val="18"/>
                <w:szCs w:val="18"/>
              </w:rPr>
              <w:br/>
              <w:t>爆破片出厂合格证。</w:t>
            </w:r>
          </w:p>
        </w:tc>
      </w:tr>
      <w:tr w:rsidR="008B6FCD" w:rsidTr="008852CC">
        <w:trPr>
          <w:trHeight w:val="1875"/>
        </w:trPr>
        <w:tc>
          <w:tcPr>
            <w:tcW w:w="64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11</w:t>
            </w:r>
          </w:p>
        </w:tc>
        <w:tc>
          <w:tcPr>
            <w:tcW w:w="10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除尘系统</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吸尘罩及风管</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①所有产尘点均应装设吸尘罩，风量和风速满足风管中不应有粉尘沉降、堵塞和内壁大于1mm的积尘。</w:t>
            </w:r>
            <w:r>
              <w:rPr>
                <w:rFonts w:ascii="宋体" w:hAnsi="宋体" w:cs="宋体" w:hint="eastAsia"/>
                <w:color w:val="000000"/>
                <w:kern w:val="0"/>
                <w:sz w:val="18"/>
                <w:szCs w:val="18"/>
              </w:rPr>
              <w:br/>
              <w:t>②除尘风管应明设，应采用非铝制金属材料、圆型横截面，其它材料应采取阻燃、防静电措施。主管道应分段(宜每隔6米)进行径向泄压并引至室外安全方向，泄压面积应不小于管道的横截面积。</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《粉尘爆炸危险场所用除尘系统安全技术规范》（AQ4273-2016）第7.1.2、1.4、2.1条。</w:t>
            </w:r>
            <w:r>
              <w:rPr>
                <w:rFonts w:ascii="宋体" w:hAnsi="宋体" w:cs="宋体" w:hint="eastAsia"/>
                <w:color w:val="000000"/>
                <w:kern w:val="0"/>
                <w:sz w:val="18"/>
                <w:szCs w:val="18"/>
              </w:rPr>
              <w:br/>
              <w:t>《粉尘爆炸泄压指南》（GB/T15605）第4.3； 6.1.6条。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现场查看吸尘罩及风管布设、内部泄漏、积尘情况</w:t>
            </w:r>
          </w:p>
        </w:tc>
      </w:tr>
      <w:tr w:rsidR="008B6FCD" w:rsidTr="008852CC">
        <w:trPr>
          <w:trHeight w:val="4159"/>
        </w:trPr>
        <w:tc>
          <w:tcPr>
            <w:tcW w:w="644"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除尘器</w:t>
            </w:r>
          </w:p>
        </w:tc>
        <w:tc>
          <w:tcPr>
            <w:tcW w:w="5950"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①袋式除尘器应采用阻燃和不产生静电的布袋，应采用脉冲喷吹等强力清灰方式进行可靠清灰,滤袋积尘残留厚度≤1mm；</w:t>
            </w:r>
            <w:r>
              <w:rPr>
                <w:rFonts w:ascii="宋体" w:hAnsi="宋体" w:cs="宋体" w:hint="eastAsia"/>
                <w:color w:val="000000"/>
                <w:kern w:val="0"/>
                <w:sz w:val="18"/>
                <w:szCs w:val="18"/>
              </w:rPr>
              <w:br/>
              <w:t>②清灰气源应符合产品说明书规定要求，袋式外滤除尘器的进出口风管应设风压监测装置，当进、出口风压力变化＞允许值的20%时，监测装置应报警。</w:t>
            </w:r>
            <w:r>
              <w:rPr>
                <w:rFonts w:ascii="宋体" w:hAnsi="宋体" w:cs="宋体" w:hint="eastAsia"/>
                <w:color w:val="000000"/>
                <w:kern w:val="0"/>
                <w:sz w:val="18"/>
                <w:szCs w:val="18"/>
              </w:rPr>
              <w:br/>
              <w:t>③确定合理清理维保周期，并详细记录。</w:t>
            </w:r>
            <w:r>
              <w:rPr>
                <w:rFonts w:ascii="宋体" w:hAnsi="宋体" w:cs="宋体" w:hint="eastAsia"/>
                <w:color w:val="000000"/>
                <w:kern w:val="0"/>
                <w:sz w:val="18"/>
                <w:szCs w:val="18"/>
              </w:rPr>
              <w:br/>
              <w:t>④铝镁等金属粉尘生产、收集、贮存必须按照GB15577要求配备防水防潮及防止粉尘自燃设施，采用湿式除尘应有防止产生氢气积聚的措施，应保持通风良好。</w:t>
            </w:r>
            <w:r>
              <w:rPr>
                <w:rFonts w:ascii="宋体" w:hAnsi="宋体" w:cs="宋体" w:hint="eastAsia"/>
                <w:color w:val="000000"/>
                <w:kern w:val="0"/>
                <w:sz w:val="18"/>
                <w:szCs w:val="18"/>
              </w:rPr>
              <w:br/>
              <w:t>⑤干式除尘器应设置锁气卸灰装置，该装置工作周期满足灰斗内无粉尘堆积，应设置运行异常及故障停机状况时监控、报警装置及发出信号。</w:t>
            </w:r>
            <w:r>
              <w:rPr>
                <w:rFonts w:ascii="宋体" w:hAnsi="宋体" w:cs="宋体" w:hint="eastAsia"/>
                <w:color w:val="000000"/>
                <w:kern w:val="0"/>
                <w:sz w:val="18"/>
                <w:szCs w:val="18"/>
              </w:rPr>
              <w:br/>
              <w:t>⑤湿式除尘器水量、水压应能满足除去内部粉尘的要求，并设置水量、水</w:t>
            </w:r>
            <w:r>
              <w:rPr>
                <w:rFonts w:ascii="宋体" w:hAnsi="宋体" w:cs="宋体" w:hint="eastAsia"/>
                <w:color w:val="000000"/>
                <w:kern w:val="0"/>
                <w:sz w:val="18"/>
                <w:szCs w:val="18"/>
              </w:rPr>
              <w:lastRenderedPageBreak/>
              <w:t>压下限监测报警装置，水及过滤池（箱）不应密闭、结冰，应通风良好。</w:t>
            </w:r>
          </w:p>
        </w:tc>
        <w:tc>
          <w:tcPr>
            <w:tcW w:w="212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《粉尘爆炸危险场所用收尘器防爆导则》（GB/T17919）第 4.1.8；4.4条。</w:t>
            </w:r>
            <w:r>
              <w:rPr>
                <w:rFonts w:ascii="宋体" w:hAnsi="宋体" w:cs="宋体" w:hint="eastAsia"/>
                <w:color w:val="000000"/>
                <w:kern w:val="0"/>
                <w:sz w:val="18"/>
                <w:szCs w:val="18"/>
              </w:rPr>
              <w:br/>
              <w:t>《粉尘爆炸危险场所用除尘系统安全技术规范（AQ4273-2016）第5.1.5、1.6；5.2.2、2.3条。</w:t>
            </w:r>
          </w:p>
        </w:tc>
        <w:tc>
          <w:tcPr>
            <w:tcW w:w="2299" w:type="dxa"/>
            <w:tcBorders>
              <w:top w:val="single" w:sz="4" w:space="0" w:color="auto"/>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现场检查除尘器、排风设备的布置情况及日常维护保养和清灰记录，现场检查除尘器类型是否合理，有无各类安全报警及联锁保护，是否及时清灰，打开除尘器查看滤袋表面积尘情况。查看所更换滤袋的出厂合格证。</w:t>
            </w:r>
          </w:p>
        </w:tc>
      </w:tr>
      <w:tr w:rsidR="008B6FCD" w:rsidTr="008852CC">
        <w:trPr>
          <w:trHeight w:val="1500"/>
        </w:trPr>
        <w:tc>
          <w:tcPr>
            <w:tcW w:w="644" w:type="dxa"/>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11</w:t>
            </w:r>
          </w:p>
        </w:tc>
        <w:tc>
          <w:tcPr>
            <w:tcW w:w="1026" w:type="dxa"/>
            <w:tcBorders>
              <w:top w:val="nil"/>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除尘系统</w:t>
            </w:r>
          </w:p>
        </w:tc>
        <w:tc>
          <w:tcPr>
            <w:tcW w:w="2126"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除尘器输灰装置</w:t>
            </w:r>
          </w:p>
        </w:tc>
        <w:tc>
          <w:tcPr>
            <w:tcW w:w="5950"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 气力、刮板、螺旋输灰装置应通畅无堵塞，管道长度≥10米应按标准设置泄爆口等防爆装置。</w:t>
            </w:r>
            <w:r>
              <w:rPr>
                <w:rFonts w:ascii="宋体" w:hAnsi="宋体" w:cs="宋体" w:hint="eastAsia"/>
                <w:color w:val="000000"/>
                <w:kern w:val="0"/>
                <w:sz w:val="18"/>
                <w:szCs w:val="18"/>
              </w:rPr>
              <w:br/>
              <w:t>②输灰装置卸出的粉尘采取粉尘仓或筒仓收集，采用控制粉尘飘散的尘降及排气措施，监控收集粉尘料位。</w:t>
            </w:r>
          </w:p>
        </w:tc>
        <w:tc>
          <w:tcPr>
            <w:tcW w:w="212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《粉尘爆炸危险场所用除尘系统安全技术规范（AQ4273-2016）第5.1.7条。</w:t>
            </w:r>
          </w:p>
        </w:tc>
        <w:tc>
          <w:tcPr>
            <w:tcW w:w="2299" w:type="dxa"/>
            <w:tcBorders>
              <w:top w:val="nil"/>
              <w:left w:val="nil"/>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现场检查除尘系统符合情况。</w:t>
            </w:r>
          </w:p>
        </w:tc>
      </w:tr>
      <w:tr w:rsidR="008B6FCD" w:rsidTr="008852CC">
        <w:trPr>
          <w:trHeight w:val="2378"/>
        </w:trPr>
        <w:tc>
          <w:tcPr>
            <w:tcW w:w="644"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lastRenderedPageBreak/>
              <w:t>12</w:t>
            </w:r>
          </w:p>
        </w:tc>
        <w:tc>
          <w:tcPr>
            <w:tcW w:w="10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斗式提升机</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燃爆性粉尘物料用斗式提升机是否规范设置卸爆口、防静电、摩擦安全装置</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①斗式提升机应设置打滑、跑偏等安全保护装置，应与紧急停机装置联锁，动作时间≤0.1s。</w:t>
            </w:r>
            <w:r>
              <w:rPr>
                <w:rFonts w:ascii="宋体" w:hAnsi="宋体" w:cs="宋体" w:hint="eastAsia"/>
                <w:color w:val="000000"/>
                <w:kern w:val="0"/>
                <w:sz w:val="18"/>
                <w:szCs w:val="18"/>
              </w:rPr>
              <w:br/>
              <w:t>②斗式提升机机桶的外壳、机头、机座和连接管应密封、不漏尘，均应保持连通、可靠接地，形成良好回路；密封件应采用阻燃材料，畚斗应具阻燃、防静电性能。</w:t>
            </w:r>
            <w:r>
              <w:rPr>
                <w:rFonts w:ascii="宋体" w:hAnsi="宋体" w:cs="宋体" w:hint="eastAsia"/>
                <w:color w:val="000000"/>
                <w:kern w:val="0"/>
                <w:sz w:val="18"/>
                <w:szCs w:val="18"/>
              </w:rPr>
              <w:br/>
              <w:t>③斗式提升机应按规定设卸爆口，机头顶部卸爆口宜引出室外，导管长度不应超过3米。</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《饲料加工系统粉尘防爆安全规程》（GB19081）第8.2条。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现场查看防打滑、跑偏安全装置，查看泄漏、卸爆口及导管设置情况。</w:t>
            </w:r>
          </w:p>
        </w:tc>
      </w:tr>
      <w:tr w:rsidR="008B6FCD" w:rsidTr="008852CC">
        <w:trPr>
          <w:trHeight w:val="1875"/>
        </w:trPr>
        <w:tc>
          <w:tcPr>
            <w:tcW w:w="64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13</w:t>
            </w:r>
          </w:p>
        </w:tc>
        <w:tc>
          <w:tcPr>
            <w:tcW w:w="10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作业安全</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班前检查及通风除尘设施启停运行情况</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在粉尘爆炸危险场所作业前，要先检查各类仪器、仪表、装置是否正常，并将检查情况如实记录；粉尘除、排尘系统的排风风机运行要先开启（运行10分钟）后停止（作业完全停止后运行10分钟）。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《铝镁粉加工粉尘防爆安全规程》（GB17269）；</w:t>
            </w:r>
            <w:r>
              <w:rPr>
                <w:rFonts w:ascii="宋体" w:hAnsi="宋体" w:cs="宋体" w:hint="eastAsia"/>
                <w:color w:val="000000"/>
                <w:kern w:val="0"/>
                <w:sz w:val="18"/>
                <w:szCs w:val="18"/>
              </w:rPr>
              <w:br/>
              <w:t>《工贸行业可燃性粉尘作业场所工艺设施防爆技术指南（试行）》第</w:t>
            </w:r>
            <w:r>
              <w:rPr>
                <w:rFonts w:ascii="宋体" w:hAnsi="宋体" w:cs="宋体" w:hint="eastAsia"/>
                <w:color w:val="000000"/>
                <w:kern w:val="0"/>
                <w:sz w:val="18"/>
                <w:szCs w:val="18"/>
              </w:rPr>
              <w:lastRenderedPageBreak/>
              <w:t>4.5条。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检查操作记录或仪器仪表检查记录，询问员工如何落实检查。</w:t>
            </w:r>
          </w:p>
        </w:tc>
      </w:tr>
      <w:tr w:rsidR="008B6FCD" w:rsidTr="008852CC">
        <w:trPr>
          <w:trHeight w:val="1500"/>
        </w:trPr>
        <w:tc>
          <w:tcPr>
            <w:tcW w:w="644"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消防器材是否按标准、规范配备</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粉尘环境爆炸危险区应按GB 500140规定要求配备专用灭火器和室外消防栓，铝镁粉尘应采用D类灭火器材、覆盖剂进行灭火。占地面积大于300㎡的厂房和仓库应按标准设置室内消火栓系统。</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《建筑灭火器设置规范》（GB500140）3、4、5条。</w:t>
            </w:r>
            <w:r>
              <w:rPr>
                <w:rFonts w:ascii="宋体" w:hAnsi="宋体" w:cs="宋体" w:hint="eastAsia"/>
                <w:color w:val="000000"/>
                <w:kern w:val="0"/>
                <w:sz w:val="18"/>
                <w:szCs w:val="18"/>
              </w:rPr>
              <w:br/>
              <w:t>《建筑设计防火规范》(GB50016) 8.2.1.1条。AQ4272-2016第7条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检查企业消防设施台账及布置图，现场检查：粉尘爆炸危险场所消防设施配备情况。</w:t>
            </w:r>
          </w:p>
        </w:tc>
      </w:tr>
      <w:tr w:rsidR="008B6FCD" w:rsidTr="008852CC">
        <w:trPr>
          <w:trHeight w:val="1755"/>
        </w:trPr>
        <w:tc>
          <w:tcPr>
            <w:tcW w:w="64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13</w:t>
            </w:r>
          </w:p>
        </w:tc>
        <w:tc>
          <w:tcPr>
            <w:tcW w:w="102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center"/>
              <w:rPr>
                <w:rFonts w:ascii="宋体" w:hAnsi="宋体" w:cs="宋体"/>
                <w:color w:val="000000"/>
                <w:kern w:val="0"/>
                <w:sz w:val="18"/>
                <w:szCs w:val="18"/>
              </w:rPr>
            </w:pPr>
            <w:r>
              <w:rPr>
                <w:rFonts w:ascii="宋体" w:hAnsi="宋体" w:cs="宋体" w:hint="eastAsia"/>
                <w:color w:val="000000"/>
                <w:kern w:val="0"/>
                <w:sz w:val="18"/>
                <w:szCs w:val="18"/>
              </w:rPr>
              <w:t>作业安全</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作业场所粉尘清扫是否规范</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①企业应按照GB15577规定建立定期清扫粉尘制度，每班对作业现场及时全面规范清理。</w:t>
            </w:r>
            <w:r>
              <w:rPr>
                <w:rFonts w:ascii="宋体" w:hAnsi="宋体" w:cs="宋体" w:hint="eastAsia"/>
                <w:color w:val="000000"/>
                <w:kern w:val="0"/>
                <w:sz w:val="18"/>
                <w:szCs w:val="18"/>
              </w:rPr>
              <w:br/>
              <w:t>②清扫粉尘时采用不产生扬尘的清扫方式和不产生火花的清扫工具。</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《全省深化冶金等工贸行业粉尘防爆专项整治工作方案》（鲁安办发〔2016〕19号）（四）,</w:t>
            </w:r>
            <w:r>
              <w:rPr>
                <w:rFonts w:ascii="宋体" w:hAnsi="宋体" w:cs="宋体" w:hint="eastAsia"/>
                <w:color w:val="000000"/>
                <w:kern w:val="0"/>
                <w:sz w:val="18"/>
                <w:szCs w:val="18"/>
              </w:rPr>
              <w:br/>
            </w:r>
            <w:r>
              <w:rPr>
                <w:rFonts w:ascii="宋体" w:hAnsi="宋体" w:cs="宋体" w:hint="eastAsia"/>
                <w:color w:val="000000"/>
                <w:kern w:val="0"/>
                <w:sz w:val="18"/>
                <w:szCs w:val="18"/>
              </w:rPr>
              <w:lastRenderedPageBreak/>
              <w:t>《粉尘爆炸危险场所用除尘系统安全技术规范》（AQ4273）第12.2条。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lastRenderedPageBreak/>
              <w:t>查看定期清扫粉尘的责任人及清扫记录，询问员工采用的清扫方式及工具，现场查看现场积尘情况。</w:t>
            </w:r>
          </w:p>
        </w:tc>
      </w:tr>
      <w:tr w:rsidR="008B6FCD" w:rsidTr="008852CC">
        <w:trPr>
          <w:trHeight w:val="1125"/>
        </w:trPr>
        <w:tc>
          <w:tcPr>
            <w:tcW w:w="644"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1026"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是否正确佩戴劳保防护用品</w:t>
            </w:r>
          </w:p>
        </w:tc>
        <w:tc>
          <w:tcPr>
            <w:tcW w:w="5950"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企业应为可燃粉尘作业人员配备防尘口罩、防噪耳塞、防静电手套、防静电鞋、防静电服或棉布工作服、防尘服、阻燃防护服等个体防护装备。禁止穿化纤类易产生静电的工装。</w:t>
            </w:r>
          </w:p>
        </w:tc>
        <w:tc>
          <w:tcPr>
            <w:tcW w:w="212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《个体防护装备选用规范》（GB/T 11651-2008）第4.1条。</w:t>
            </w:r>
          </w:p>
        </w:tc>
        <w:tc>
          <w:tcPr>
            <w:tcW w:w="2299" w:type="dxa"/>
            <w:tcBorders>
              <w:top w:val="single" w:sz="4" w:space="0" w:color="auto"/>
              <w:left w:val="single" w:sz="4" w:space="0" w:color="auto"/>
              <w:bottom w:val="single" w:sz="4" w:space="0" w:color="auto"/>
              <w:right w:val="single" w:sz="4" w:space="0" w:color="auto"/>
            </w:tcBorders>
            <w:shd w:val="clear" w:color="auto" w:fill="auto"/>
            <w:vAlign w:val="center"/>
          </w:tcPr>
          <w:p w:rsidR="008B6FCD" w:rsidRDefault="008B6FCD" w:rsidP="008852CC">
            <w:pPr>
              <w:widowControl/>
              <w:spacing w:line="560" w:lineRule="exact"/>
              <w:jc w:val="left"/>
              <w:rPr>
                <w:rFonts w:ascii="宋体" w:hAnsi="宋体" w:cs="宋体"/>
                <w:color w:val="000000"/>
                <w:kern w:val="0"/>
                <w:sz w:val="18"/>
                <w:szCs w:val="18"/>
              </w:rPr>
            </w:pPr>
            <w:r>
              <w:rPr>
                <w:rFonts w:ascii="宋体" w:hAnsi="宋体" w:cs="宋体" w:hint="eastAsia"/>
                <w:color w:val="000000"/>
                <w:kern w:val="0"/>
                <w:sz w:val="18"/>
                <w:szCs w:val="18"/>
              </w:rPr>
              <w:t>查文件：粉尘作业人员安全防护用品发放台账；现场检查：作业人员个体防护用品正确穿戴情况</w:t>
            </w:r>
          </w:p>
        </w:tc>
      </w:tr>
    </w:tbl>
    <w:p w:rsidR="008B6FCD" w:rsidRDefault="008B6FCD" w:rsidP="008B6FCD">
      <w:pPr>
        <w:spacing w:line="560" w:lineRule="exact"/>
        <w:rPr>
          <w:rFonts w:ascii="宋体" w:hAnsi="宋体"/>
        </w:rPr>
      </w:pPr>
    </w:p>
    <w:p w:rsidR="008B6FCD" w:rsidRDefault="008B6FCD" w:rsidP="008B6FCD">
      <w:pPr>
        <w:pStyle w:val="20"/>
        <w:spacing w:beforeAutospacing="0" w:afterAutospacing="0" w:line="560" w:lineRule="exact"/>
        <w:jc w:val="center"/>
        <w:rPr>
          <w:rFonts w:ascii="楷体" w:eastAsia="楷体" w:hAnsi="楷体" w:hint="default"/>
          <w:kern w:val="2"/>
          <w:sz w:val="32"/>
        </w:rPr>
      </w:pPr>
      <w:r>
        <w:br w:type="page"/>
      </w:r>
      <w:bookmarkStart w:id="2" w:name="_Toc10021749"/>
      <w:r>
        <w:rPr>
          <w:rFonts w:ascii="楷体" w:eastAsia="楷体" w:hAnsi="楷体"/>
          <w:kern w:val="2"/>
          <w:sz w:val="32"/>
        </w:rPr>
        <w:lastRenderedPageBreak/>
        <w:t>表</w:t>
      </w:r>
      <w:r>
        <w:rPr>
          <w:rFonts w:ascii="楷体" w:eastAsia="楷体" w:hAnsi="楷体" w:hint="default"/>
          <w:kern w:val="2"/>
          <w:sz w:val="32"/>
        </w:rPr>
        <w:t>3</w:t>
      </w:r>
      <w:r>
        <w:rPr>
          <w:rFonts w:ascii="楷体" w:eastAsia="楷体" w:hAnsi="楷体"/>
          <w:kern w:val="2"/>
          <w:sz w:val="32"/>
        </w:rPr>
        <w:t>： 金属冶炼企业检查表</w:t>
      </w:r>
      <w:bookmarkEnd w:id="2"/>
    </w:p>
    <w:tbl>
      <w:tblPr>
        <w:tblW w:w="143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073"/>
        <w:gridCol w:w="993"/>
        <w:gridCol w:w="6945"/>
        <w:gridCol w:w="2704"/>
        <w:gridCol w:w="1863"/>
      </w:tblGrid>
      <w:tr w:rsidR="008B6FCD" w:rsidTr="008852CC">
        <w:trPr>
          <w:trHeight w:val="602"/>
          <w:tblHeader/>
          <w:jc w:val="center"/>
        </w:trPr>
        <w:tc>
          <w:tcPr>
            <w:tcW w:w="817" w:type="dxa"/>
            <w:vAlign w:val="center"/>
          </w:tcPr>
          <w:p w:rsidR="008B6FCD" w:rsidRDefault="008B6FCD" w:rsidP="008852CC">
            <w:pPr>
              <w:spacing w:line="560" w:lineRule="exact"/>
              <w:jc w:val="center"/>
              <w:rPr>
                <w:rFonts w:ascii="宋体" w:hAnsi="宋体"/>
                <w:b/>
              </w:rPr>
            </w:pPr>
            <w:r>
              <w:rPr>
                <w:rFonts w:ascii="宋体" w:hAnsi="宋体" w:hint="eastAsia"/>
                <w:b/>
              </w:rPr>
              <w:t>序号</w:t>
            </w:r>
          </w:p>
        </w:tc>
        <w:tc>
          <w:tcPr>
            <w:tcW w:w="1073" w:type="dxa"/>
            <w:vAlign w:val="center"/>
          </w:tcPr>
          <w:p w:rsidR="008B6FCD" w:rsidRDefault="008B6FCD" w:rsidP="008852CC">
            <w:pPr>
              <w:spacing w:line="560" w:lineRule="exact"/>
              <w:jc w:val="center"/>
              <w:rPr>
                <w:rFonts w:ascii="宋体" w:hAnsi="宋体"/>
                <w:b/>
              </w:rPr>
            </w:pPr>
            <w:r>
              <w:rPr>
                <w:rFonts w:ascii="宋体" w:hAnsi="宋体" w:hint="eastAsia"/>
                <w:b/>
              </w:rPr>
              <w:t>检查项目</w:t>
            </w:r>
          </w:p>
        </w:tc>
        <w:tc>
          <w:tcPr>
            <w:tcW w:w="7938" w:type="dxa"/>
            <w:gridSpan w:val="2"/>
            <w:vAlign w:val="center"/>
          </w:tcPr>
          <w:p w:rsidR="008B6FCD" w:rsidRDefault="008B6FCD" w:rsidP="008852CC">
            <w:pPr>
              <w:spacing w:line="560" w:lineRule="exact"/>
              <w:jc w:val="center"/>
              <w:rPr>
                <w:rFonts w:ascii="宋体" w:hAnsi="宋体"/>
                <w:b/>
              </w:rPr>
            </w:pPr>
            <w:r>
              <w:rPr>
                <w:rFonts w:ascii="宋体" w:hAnsi="宋体" w:hint="eastAsia"/>
                <w:b/>
              </w:rPr>
              <w:t>检查内容</w:t>
            </w:r>
          </w:p>
        </w:tc>
        <w:tc>
          <w:tcPr>
            <w:tcW w:w="2704" w:type="dxa"/>
            <w:vAlign w:val="center"/>
          </w:tcPr>
          <w:p w:rsidR="008B6FCD" w:rsidRDefault="008B6FCD" w:rsidP="008852CC">
            <w:pPr>
              <w:spacing w:line="560" w:lineRule="exact"/>
              <w:jc w:val="center"/>
              <w:rPr>
                <w:rFonts w:ascii="宋体" w:hAnsi="宋体"/>
                <w:b/>
              </w:rPr>
            </w:pPr>
            <w:r>
              <w:rPr>
                <w:rFonts w:ascii="宋体" w:hAnsi="宋体" w:hint="eastAsia"/>
                <w:b/>
              </w:rPr>
              <w:t>检查依据</w:t>
            </w:r>
          </w:p>
        </w:tc>
        <w:tc>
          <w:tcPr>
            <w:tcW w:w="1863" w:type="dxa"/>
            <w:vAlign w:val="center"/>
          </w:tcPr>
          <w:p w:rsidR="008B6FCD" w:rsidRDefault="008B6FCD" w:rsidP="008852CC">
            <w:pPr>
              <w:spacing w:line="560" w:lineRule="exact"/>
              <w:jc w:val="center"/>
              <w:rPr>
                <w:rFonts w:ascii="宋体" w:hAnsi="宋体"/>
                <w:b/>
              </w:rPr>
            </w:pPr>
            <w:r>
              <w:rPr>
                <w:rFonts w:ascii="宋体" w:hAnsi="宋体" w:hint="eastAsia"/>
                <w:b/>
              </w:rPr>
              <w:t>检查方法</w:t>
            </w:r>
          </w:p>
        </w:tc>
      </w:tr>
      <w:tr w:rsidR="008B6FCD" w:rsidTr="008852CC">
        <w:trPr>
          <w:trHeight w:val="2315"/>
          <w:jc w:val="center"/>
        </w:trPr>
        <w:tc>
          <w:tcPr>
            <w:tcW w:w="817" w:type="dxa"/>
            <w:vMerge w:val="restart"/>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t>1</w:t>
            </w:r>
          </w:p>
        </w:tc>
        <w:tc>
          <w:tcPr>
            <w:tcW w:w="1073" w:type="dxa"/>
            <w:vMerge w:val="restart"/>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t>组织机构</w:t>
            </w:r>
          </w:p>
        </w:tc>
        <w:tc>
          <w:tcPr>
            <w:tcW w:w="993" w:type="dxa"/>
            <w:vAlign w:val="center"/>
          </w:tcPr>
          <w:p w:rsidR="008B6FCD" w:rsidRDefault="008B6FCD" w:rsidP="008852CC">
            <w:pPr>
              <w:spacing w:line="560" w:lineRule="exact"/>
              <w:rPr>
                <w:rFonts w:ascii="宋体" w:hAnsi="宋体"/>
                <w:sz w:val="18"/>
                <w:szCs w:val="18"/>
              </w:rPr>
            </w:pPr>
            <w:r>
              <w:rPr>
                <w:rFonts w:ascii="宋体" w:hAnsi="宋体" w:hint="eastAsia"/>
                <w:sz w:val="18"/>
                <w:szCs w:val="18"/>
              </w:rPr>
              <w:t>按规定设置安全管理机构或配备安全管理人员情况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（一）不足</w:t>
            </w:r>
            <w:r>
              <w:rPr>
                <w:rFonts w:ascii="宋体" w:hAnsi="宋体"/>
                <w:sz w:val="18"/>
                <w:szCs w:val="18"/>
              </w:rPr>
              <w:t>100</w:t>
            </w:r>
            <w:r>
              <w:rPr>
                <w:rFonts w:ascii="宋体" w:hAnsi="宋体" w:hint="eastAsia"/>
                <w:sz w:val="18"/>
                <w:szCs w:val="18"/>
              </w:rPr>
              <w:t>人的，配备专职安全生产管理人员；（二）</w:t>
            </w:r>
            <w:r>
              <w:rPr>
                <w:rFonts w:ascii="宋体" w:hAnsi="宋体"/>
                <w:sz w:val="18"/>
                <w:szCs w:val="18"/>
              </w:rPr>
              <w:t>100</w:t>
            </w:r>
            <w:r>
              <w:rPr>
                <w:rFonts w:ascii="宋体" w:hAnsi="宋体" w:hint="eastAsia"/>
                <w:sz w:val="18"/>
                <w:szCs w:val="18"/>
              </w:rPr>
              <w:t>人以上不足</w:t>
            </w:r>
            <w:r>
              <w:rPr>
                <w:rFonts w:ascii="宋体" w:hAnsi="宋体"/>
                <w:sz w:val="18"/>
                <w:szCs w:val="18"/>
              </w:rPr>
              <w:t>300</w:t>
            </w:r>
            <w:r>
              <w:rPr>
                <w:rFonts w:ascii="宋体" w:hAnsi="宋体" w:hint="eastAsia"/>
                <w:sz w:val="18"/>
                <w:szCs w:val="18"/>
              </w:rPr>
              <w:t>人的，设置安全生产管理机构，并配备</w:t>
            </w:r>
            <w:r>
              <w:rPr>
                <w:rFonts w:ascii="宋体" w:hAnsi="宋体"/>
                <w:sz w:val="18"/>
                <w:szCs w:val="18"/>
              </w:rPr>
              <w:t>2</w:t>
            </w:r>
            <w:r>
              <w:rPr>
                <w:rFonts w:ascii="宋体" w:hAnsi="宋体" w:hint="eastAsia"/>
                <w:sz w:val="18"/>
                <w:szCs w:val="18"/>
              </w:rPr>
              <w:t>名以上专职安全生产管理人员，其中至少应当有</w:t>
            </w:r>
            <w:r>
              <w:rPr>
                <w:rFonts w:ascii="宋体" w:hAnsi="宋体"/>
                <w:sz w:val="18"/>
                <w:szCs w:val="18"/>
              </w:rPr>
              <w:t>1</w:t>
            </w:r>
            <w:r>
              <w:rPr>
                <w:rFonts w:ascii="宋体" w:hAnsi="宋体" w:hint="eastAsia"/>
                <w:sz w:val="18"/>
                <w:szCs w:val="18"/>
              </w:rPr>
              <w:t>名注册安全工程师；（三）</w:t>
            </w:r>
            <w:r>
              <w:rPr>
                <w:rFonts w:ascii="宋体" w:hAnsi="宋体"/>
                <w:sz w:val="18"/>
                <w:szCs w:val="18"/>
              </w:rPr>
              <w:t>300</w:t>
            </w:r>
            <w:r>
              <w:rPr>
                <w:rFonts w:ascii="宋体" w:hAnsi="宋体" w:hint="eastAsia"/>
                <w:sz w:val="18"/>
                <w:szCs w:val="18"/>
              </w:rPr>
              <w:t>人以上不足</w:t>
            </w:r>
            <w:r>
              <w:rPr>
                <w:rFonts w:ascii="宋体" w:hAnsi="宋体"/>
                <w:sz w:val="18"/>
                <w:szCs w:val="18"/>
              </w:rPr>
              <w:t>1000</w:t>
            </w:r>
            <w:r>
              <w:rPr>
                <w:rFonts w:ascii="宋体" w:hAnsi="宋体" w:hint="eastAsia"/>
                <w:sz w:val="18"/>
                <w:szCs w:val="18"/>
              </w:rPr>
              <w:t>人的，设置专门的安全生产管理机构，并按不低于从业人员</w:t>
            </w:r>
            <w:r>
              <w:rPr>
                <w:rFonts w:ascii="宋体" w:hAnsi="宋体"/>
                <w:sz w:val="18"/>
                <w:szCs w:val="18"/>
              </w:rPr>
              <w:t>5</w:t>
            </w:r>
            <w:r>
              <w:rPr>
                <w:rFonts w:ascii="宋体" w:hAnsi="宋体" w:hint="eastAsia"/>
                <w:sz w:val="18"/>
                <w:szCs w:val="18"/>
              </w:rPr>
              <w:t>‰但最低不少于</w:t>
            </w:r>
            <w:r>
              <w:rPr>
                <w:rFonts w:ascii="宋体" w:hAnsi="宋体"/>
                <w:sz w:val="18"/>
                <w:szCs w:val="18"/>
              </w:rPr>
              <w:t>3</w:t>
            </w:r>
            <w:r>
              <w:rPr>
                <w:rFonts w:ascii="宋体" w:hAnsi="宋体" w:hint="eastAsia"/>
                <w:sz w:val="18"/>
                <w:szCs w:val="18"/>
              </w:rPr>
              <w:t>名的比例配备专职安全生产管理人员，其中至少应当有</w:t>
            </w:r>
            <w:r>
              <w:rPr>
                <w:rFonts w:ascii="宋体" w:hAnsi="宋体"/>
                <w:sz w:val="18"/>
                <w:szCs w:val="18"/>
              </w:rPr>
              <w:t>2</w:t>
            </w:r>
            <w:r>
              <w:rPr>
                <w:rFonts w:ascii="宋体" w:hAnsi="宋体" w:hint="eastAsia"/>
                <w:sz w:val="18"/>
                <w:szCs w:val="18"/>
              </w:rPr>
              <w:t>名注册安全工程师；（四）</w:t>
            </w:r>
            <w:r>
              <w:rPr>
                <w:rFonts w:ascii="宋体" w:hAnsi="宋体"/>
                <w:sz w:val="18"/>
                <w:szCs w:val="18"/>
              </w:rPr>
              <w:t>1000</w:t>
            </w:r>
            <w:r>
              <w:rPr>
                <w:rFonts w:ascii="宋体" w:hAnsi="宋体" w:hint="eastAsia"/>
                <w:sz w:val="18"/>
                <w:szCs w:val="18"/>
              </w:rPr>
              <w:t>人以上的，应当设置专门的安全生产管理机构，并按不低于从业人员</w:t>
            </w:r>
            <w:r>
              <w:rPr>
                <w:rFonts w:ascii="宋体" w:hAnsi="宋体"/>
                <w:sz w:val="18"/>
                <w:szCs w:val="18"/>
              </w:rPr>
              <w:t>5</w:t>
            </w:r>
            <w:r>
              <w:rPr>
                <w:rFonts w:ascii="宋体" w:hAnsi="宋体" w:hint="eastAsia"/>
                <w:sz w:val="18"/>
                <w:szCs w:val="18"/>
              </w:rPr>
              <w:t>‰的比例配备专职安全生产管理人员，其中至少应当有</w:t>
            </w:r>
            <w:r>
              <w:rPr>
                <w:rFonts w:ascii="宋体" w:hAnsi="宋体"/>
                <w:sz w:val="18"/>
                <w:szCs w:val="18"/>
              </w:rPr>
              <w:t>3</w:t>
            </w:r>
            <w:r>
              <w:rPr>
                <w:rFonts w:ascii="宋体" w:hAnsi="宋体" w:hint="eastAsia"/>
                <w:sz w:val="18"/>
                <w:szCs w:val="18"/>
              </w:rPr>
              <w:t>名注册安全工程师。</w:t>
            </w:r>
          </w:p>
        </w:tc>
        <w:tc>
          <w:tcPr>
            <w:tcW w:w="2704" w:type="dxa"/>
            <w:vAlign w:val="center"/>
          </w:tcPr>
          <w:p w:rsidR="008B6FCD" w:rsidRDefault="008B6FCD" w:rsidP="008852CC">
            <w:pPr>
              <w:spacing w:line="560" w:lineRule="exact"/>
              <w:rPr>
                <w:rFonts w:ascii="宋体" w:hAnsi="宋体"/>
                <w:sz w:val="18"/>
                <w:szCs w:val="18"/>
              </w:rPr>
            </w:pPr>
            <w:r>
              <w:rPr>
                <w:rFonts w:ascii="宋体" w:hAnsi="宋体" w:hint="eastAsia"/>
                <w:sz w:val="18"/>
                <w:szCs w:val="18"/>
              </w:rPr>
              <w:t>《安全生产法》第二十四条第三款；《山东省生产经营单位安全生产主体责任规定》（省政府令第260号）第九条。</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检查企业员工花名册、安全管理机构或配备安全管理人员的文件和配备注册安全工程师的文件。</w:t>
            </w:r>
          </w:p>
        </w:tc>
      </w:tr>
      <w:tr w:rsidR="008B6FCD" w:rsidTr="008852CC">
        <w:trPr>
          <w:trHeight w:val="974"/>
          <w:jc w:val="center"/>
        </w:trPr>
        <w:tc>
          <w:tcPr>
            <w:tcW w:w="817" w:type="dxa"/>
            <w:vMerge/>
            <w:vAlign w:val="center"/>
          </w:tcPr>
          <w:p w:rsidR="008B6FCD" w:rsidRDefault="008B6FCD" w:rsidP="008852CC">
            <w:pPr>
              <w:spacing w:line="560" w:lineRule="exact"/>
              <w:jc w:val="center"/>
              <w:rPr>
                <w:rFonts w:ascii="宋体" w:hAnsi="宋体"/>
                <w:sz w:val="18"/>
                <w:szCs w:val="18"/>
              </w:rPr>
            </w:pPr>
          </w:p>
        </w:tc>
        <w:tc>
          <w:tcPr>
            <w:tcW w:w="1073" w:type="dxa"/>
            <w:vMerge/>
            <w:vAlign w:val="center"/>
          </w:tcPr>
          <w:p w:rsidR="008B6FCD" w:rsidRDefault="008B6FCD" w:rsidP="008852CC">
            <w:pPr>
              <w:spacing w:line="560" w:lineRule="exact"/>
              <w:jc w:val="center"/>
              <w:rPr>
                <w:rFonts w:ascii="宋体" w:hAnsi="宋体"/>
                <w:sz w:val="18"/>
                <w:szCs w:val="18"/>
              </w:rPr>
            </w:pP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设置安全总监</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从业人员在300人以上的高危生产经营单位应当设置安全总监。安全总监协助本单位主要负责人履行安全生产管理职责，专项分管本单位安全生产管理工作。</w:t>
            </w:r>
          </w:p>
        </w:tc>
        <w:tc>
          <w:tcPr>
            <w:tcW w:w="2704" w:type="dxa"/>
            <w:vAlign w:val="center"/>
          </w:tcPr>
          <w:p w:rsidR="008B6FCD" w:rsidRDefault="008B6FCD" w:rsidP="008852CC">
            <w:pPr>
              <w:spacing w:line="560" w:lineRule="exact"/>
              <w:rPr>
                <w:rFonts w:ascii="宋体" w:hAnsi="宋体"/>
                <w:sz w:val="18"/>
                <w:szCs w:val="18"/>
              </w:rPr>
            </w:pPr>
            <w:r>
              <w:rPr>
                <w:rFonts w:ascii="宋体" w:hAnsi="宋体" w:hint="eastAsia"/>
                <w:sz w:val="18"/>
                <w:szCs w:val="18"/>
              </w:rPr>
              <w:t>《山东省生产经营单位安全生产主体责任规定》（省政府令第260号）第十二条。</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检查配备安全总监的文件。</w:t>
            </w:r>
          </w:p>
        </w:tc>
      </w:tr>
      <w:tr w:rsidR="008B6FCD" w:rsidTr="008852CC">
        <w:trPr>
          <w:jc w:val="center"/>
        </w:trPr>
        <w:tc>
          <w:tcPr>
            <w:tcW w:w="817" w:type="dxa"/>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t>2</w:t>
            </w:r>
          </w:p>
        </w:tc>
        <w:tc>
          <w:tcPr>
            <w:tcW w:w="107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安全培训</w:t>
            </w: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主要负责人和安全</w:t>
            </w:r>
            <w:r>
              <w:rPr>
                <w:rFonts w:ascii="宋体" w:hAnsi="宋体" w:hint="eastAsia"/>
                <w:sz w:val="18"/>
                <w:szCs w:val="18"/>
              </w:rPr>
              <w:lastRenderedPageBreak/>
              <w:t>管理人员培训</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主要负责人和安全生产管理人员，自任职之日起6个月内，必须经安全生产监管监察部门对其安全生产知识和管理能力考核合格。</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《生产经营单位安全培训规定》（总局3号令）第二十四条。</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查看主要负责人和安全管理人员的安全合</w:t>
            </w:r>
            <w:r>
              <w:rPr>
                <w:rFonts w:ascii="宋体" w:hAnsi="宋体" w:hint="eastAsia"/>
                <w:sz w:val="18"/>
                <w:szCs w:val="18"/>
              </w:rPr>
              <w:lastRenderedPageBreak/>
              <w:t>格证书。</w:t>
            </w:r>
          </w:p>
        </w:tc>
      </w:tr>
      <w:tr w:rsidR="008B6FCD" w:rsidTr="008852CC">
        <w:trPr>
          <w:trHeight w:val="1464"/>
          <w:jc w:val="center"/>
        </w:trPr>
        <w:tc>
          <w:tcPr>
            <w:tcW w:w="817" w:type="dxa"/>
            <w:vMerge w:val="restart"/>
            <w:vAlign w:val="center"/>
          </w:tcPr>
          <w:p w:rsidR="008B6FCD" w:rsidRDefault="008B6FCD" w:rsidP="008852CC">
            <w:pPr>
              <w:spacing w:line="540" w:lineRule="exact"/>
              <w:jc w:val="center"/>
              <w:rPr>
                <w:rFonts w:ascii="宋体" w:hAnsi="宋体"/>
                <w:sz w:val="18"/>
                <w:szCs w:val="18"/>
              </w:rPr>
            </w:pPr>
            <w:r>
              <w:rPr>
                <w:rFonts w:ascii="宋体" w:hAnsi="宋体" w:hint="eastAsia"/>
                <w:sz w:val="18"/>
                <w:szCs w:val="18"/>
              </w:rPr>
              <w:lastRenderedPageBreak/>
              <w:t>2</w:t>
            </w:r>
          </w:p>
        </w:tc>
        <w:tc>
          <w:tcPr>
            <w:tcW w:w="1073" w:type="dxa"/>
            <w:vMerge w:val="restart"/>
            <w:vAlign w:val="center"/>
          </w:tcPr>
          <w:p w:rsidR="008B6FCD" w:rsidRDefault="008B6FCD" w:rsidP="008852CC">
            <w:pPr>
              <w:spacing w:line="540" w:lineRule="exact"/>
              <w:jc w:val="left"/>
              <w:rPr>
                <w:rFonts w:ascii="宋体" w:hAnsi="宋体"/>
                <w:sz w:val="18"/>
                <w:szCs w:val="18"/>
              </w:rPr>
            </w:pPr>
            <w:r>
              <w:rPr>
                <w:rFonts w:ascii="宋体" w:hAnsi="宋体" w:hint="eastAsia"/>
                <w:sz w:val="18"/>
                <w:szCs w:val="18"/>
              </w:rPr>
              <w:t>安全培训</w:t>
            </w:r>
          </w:p>
        </w:tc>
        <w:tc>
          <w:tcPr>
            <w:tcW w:w="993" w:type="dxa"/>
            <w:vAlign w:val="center"/>
          </w:tcPr>
          <w:p w:rsidR="008B6FCD" w:rsidRDefault="008B6FCD" w:rsidP="008852CC">
            <w:pPr>
              <w:spacing w:line="540" w:lineRule="exact"/>
              <w:jc w:val="left"/>
              <w:rPr>
                <w:rFonts w:ascii="宋体" w:hAnsi="宋体"/>
                <w:sz w:val="18"/>
                <w:szCs w:val="18"/>
              </w:rPr>
            </w:pPr>
            <w:r>
              <w:rPr>
                <w:rFonts w:ascii="宋体" w:hAnsi="宋体" w:hint="eastAsia"/>
                <w:sz w:val="18"/>
                <w:szCs w:val="18"/>
              </w:rPr>
              <w:t>特种作业人员培训档案和持证上岗情况</w:t>
            </w:r>
          </w:p>
        </w:tc>
        <w:tc>
          <w:tcPr>
            <w:tcW w:w="6945" w:type="dxa"/>
            <w:vAlign w:val="center"/>
          </w:tcPr>
          <w:p w:rsidR="008B6FCD" w:rsidRDefault="008B6FCD" w:rsidP="008852CC">
            <w:pPr>
              <w:spacing w:line="540" w:lineRule="exact"/>
              <w:jc w:val="left"/>
              <w:rPr>
                <w:rFonts w:ascii="宋体" w:hAnsi="宋体"/>
                <w:sz w:val="18"/>
                <w:szCs w:val="18"/>
              </w:rPr>
            </w:pPr>
            <w:r>
              <w:rPr>
                <w:rFonts w:ascii="宋体" w:hAnsi="宋体" w:hint="eastAsia"/>
                <w:sz w:val="18"/>
                <w:szCs w:val="18"/>
              </w:rPr>
              <w:t>①应当加强对本单位特种作业人员的管理，建立健全特种作业人员培训、复审档案。</w:t>
            </w:r>
          </w:p>
          <w:p w:rsidR="008B6FCD" w:rsidRDefault="008B6FCD" w:rsidP="008852CC">
            <w:pPr>
              <w:spacing w:line="540" w:lineRule="exact"/>
              <w:jc w:val="left"/>
              <w:rPr>
                <w:rFonts w:ascii="宋体" w:hAnsi="宋体"/>
                <w:sz w:val="18"/>
                <w:szCs w:val="18"/>
              </w:rPr>
            </w:pPr>
            <w:r>
              <w:rPr>
                <w:rFonts w:ascii="宋体" w:hAnsi="宋体" w:hint="eastAsia"/>
                <w:sz w:val="18"/>
                <w:szCs w:val="18"/>
              </w:rPr>
              <w:t>②特种作业人员必须经专门的安全技术培训并考核合格，取得《中华人民共和国特种作业操作证》后，方可上岗作业。③金属冶炼企业主要涉及电工、电焊工、煤气作业（包括煤气生产、储存、输送、使用、维护检修的作业）。</w:t>
            </w:r>
          </w:p>
        </w:tc>
        <w:tc>
          <w:tcPr>
            <w:tcW w:w="2704" w:type="dxa"/>
            <w:vAlign w:val="center"/>
          </w:tcPr>
          <w:p w:rsidR="008B6FCD" w:rsidRDefault="008B6FCD" w:rsidP="008852CC">
            <w:pPr>
              <w:spacing w:line="540" w:lineRule="exact"/>
              <w:jc w:val="left"/>
              <w:rPr>
                <w:rFonts w:ascii="宋体" w:hAnsi="宋体"/>
                <w:sz w:val="18"/>
                <w:szCs w:val="18"/>
              </w:rPr>
            </w:pPr>
            <w:r>
              <w:rPr>
                <w:rFonts w:ascii="宋体" w:hAnsi="宋体" w:hint="eastAsia"/>
                <w:sz w:val="18"/>
                <w:szCs w:val="18"/>
              </w:rPr>
              <w:t>《特种作业人员安全技术培训考核管理规定》（总局30号令）第五条、第三十四条。</w:t>
            </w:r>
          </w:p>
        </w:tc>
        <w:tc>
          <w:tcPr>
            <w:tcW w:w="1863" w:type="dxa"/>
            <w:vAlign w:val="center"/>
          </w:tcPr>
          <w:p w:rsidR="008B6FCD" w:rsidRDefault="008B6FCD" w:rsidP="008852CC">
            <w:pPr>
              <w:spacing w:line="540" w:lineRule="exact"/>
              <w:jc w:val="left"/>
              <w:rPr>
                <w:rFonts w:ascii="宋体" w:hAnsi="宋体"/>
                <w:sz w:val="18"/>
                <w:szCs w:val="18"/>
              </w:rPr>
            </w:pPr>
            <w:r>
              <w:rPr>
                <w:rFonts w:ascii="宋体" w:hAnsi="宋体" w:hint="eastAsia"/>
                <w:sz w:val="18"/>
                <w:szCs w:val="18"/>
              </w:rPr>
              <w:t>①检查企业特种作业人员管理档案；</w:t>
            </w:r>
          </w:p>
          <w:p w:rsidR="008B6FCD" w:rsidRDefault="008B6FCD" w:rsidP="008852CC">
            <w:pPr>
              <w:spacing w:line="540" w:lineRule="exact"/>
              <w:jc w:val="left"/>
              <w:rPr>
                <w:rFonts w:ascii="宋体" w:hAnsi="宋体"/>
                <w:sz w:val="18"/>
                <w:szCs w:val="18"/>
              </w:rPr>
            </w:pPr>
            <w:r>
              <w:rPr>
                <w:rFonts w:ascii="宋体" w:hAnsi="宋体" w:hint="eastAsia"/>
                <w:sz w:val="18"/>
                <w:szCs w:val="18"/>
              </w:rPr>
              <w:t>②现场抽查部分特种作业人员信息是否与台账一致。</w:t>
            </w:r>
          </w:p>
        </w:tc>
      </w:tr>
      <w:tr w:rsidR="008B6FCD" w:rsidTr="008852CC">
        <w:trPr>
          <w:trHeight w:val="2207"/>
          <w:jc w:val="center"/>
        </w:trPr>
        <w:tc>
          <w:tcPr>
            <w:tcW w:w="817" w:type="dxa"/>
            <w:vMerge/>
            <w:vAlign w:val="center"/>
          </w:tcPr>
          <w:p w:rsidR="008B6FCD" w:rsidRDefault="008B6FCD" w:rsidP="008852CC">
            <w:pPr>
              <w:spacing w:line="540" w:lineRule="exact"/>
              <w:jc w:val="center"/>
              <w:rPr>
                <w:rFonts w:ascii="宋体" w:hAnsi="宋体"/>
                <w:sz w:val="18"/>
                <w:szCs w:val="18"/>
              </w:rPr>
            </w:pPr>
          </w:p>
        </w:tc>
        <w:tc>
          <w:tcPr>
            <w:tcW w:w="1073" w:type="dxa"/>
            <w:vMerge/>
            <w:vAlign w:val="center"/>
          </w:tcPr>
          <w:p w:rsidR="008B6FCD" w:rsidRDefault="008B6FCD" w:rsidP="008852CC">
            <w:pPr>
              <w:spacing w:line="540" w:lineRule="exact"/>
              <w:jc w:val="left"/>
              <w:rPr>
                <w:rFonts w:ascii="宋体" w:hAnsi="宋体"/>
                <w:sz w:val="18"/>
                <w:szCs w:val="18"/>
              </w:rPr>
            </w:pPr>
          </w:p>
        </w:tc>
        <w:tc>
          <w:tcPr>
            <w:tcW w:w="993" w:type="dxa"/>
            <w:vAlign w:val="center"/>
          </w:tcPr>
          <w:p w:rsidR="008B6FCD" w:rsidRDefault="008B6FCD" w:rsidP="008852CC">
            <w:pPr>
              <w:spacing w:line="540" w:lineRule="exact"/>
              <w:jc w:val="left"/>
              <w:rPr>
                <w:rFonts w:ascii="宋体" w:hAnsi="宋体"/>
                <w:sz w:val="18"/>
                <w:szCs w:val="18"/>
              </w:rPr>
            </w:pPr>
            <w:r>
              <w:rPr>
                <w:rFonts w:ascii="宋体" w:hAnsi="宋体" w:hint="eastAsia"/>
                <w:sz w:val="18"/>
                <w:szCs w:val="18"/>
              </w:rPr>
              <w:t>从业人员安全生产教育和培训档案</w:t>
            </w:r>
          </w:p>
        </w:tc>
        <w:tc>
          <w:tcPr>
            <w:tcW w:w="6945" w:type="dxa"/>
            <w:vAlign w:val="center"/>
          </w:tcPr>
          <w:p w:rsidR="008B6FCD" w:rsidRDefault="008B6FCD" w:rsidP="008852CC">
            <w:pPr>
              <w:spacing w:line="540" w:lineRule="exact"/>
              <w:jc w:val="left"/>
              <w:rPr>
                <w:rFonts w:ascii="宋体" w:hAnsi="宋体"/>
                <w:sz w:val="18"/>
                <w:szCs w:val="18"/>
              </w:rPr>
            </w:pPr>
            <w:r>
              <w:rPr>
                <w:rFonts w:ascii="宋体" w:hAnsi="宋体" w:hint="eastAsia"/>
                <w:sz w:val="18"/>
                <w:szCs w:val="18"/>
              </w:rPr>
              <w:t>①应建立安全生产教育和培训档案，如实记录安全生产教育和培训的时间、内容、参加人员以及考核结果等情况。</w:t>
            </w:r>
          </w:p>
          <w:p w:rsidR="008B6FCD" w:rsidRDefault="008B6FCD" w:rsidP="008852CC">
            <w:pPr>
              <w:spacing w:line="540" w:lineRule="exact"/>
              <w:jc w:val="left"/>
              <w:rPr>
                <w:rFonts w:ascii="宋体" w:hAnsi="宋体"/>
                <w:sz w:val="18"/>
                <w:szCs w:val="18"/>
              </w:rPr>
            </w:pPr>
            <w:r>
              <w:rPr>
                <w:rFonts w:ascii="宋体" w:hAnsi="宋体" w:hint="eastAsia"/>
                <w:sz w:val="18"/>
                <w:szCs w:val="18"/>
              </w:rPr>
              <w:t>②企业应当对新上岗从业人员进行厂（公司）、车间（职能部门）、班组三级安全生产教育和培训,新上岗的从业人员安全培训时间不少于72学时，每年再培训时间不少于20学时。</w:t>
            </w:r>
          </w:p>
          <w:p w:rsidR="008B6FCD" w:rsidRDefault="008B6FCD" w:rsidP="008852CC">
            <w:pPr>
              <w:spacing w:line="540" w:lineRule="exact"/>
              <w:jc w:val="left"/>
              <w:rPr>
                <w:rFonts w:ascii="宋体" w:hAnsi="宋体"/>
                <w:sz w:val="18"/>
                <w:szCs w:val="18"/>
              </w:rPr>
            </w:pPr>
            <w:r>
              <w:rPr>
                <w:rFonts w:ascii="宋体" w:hAnsi="宋体" w:hint="eastAsia"/>
                <w:sz w:val="18"/>
                <w:szCs w:val="18"/>
              </w:rPr>
              <w:t>③调换工种和脱岗三个月以上重新上岗的人员，应事先进行岗位安全培训，并经考核合格方可上岗。</w:t>
            </w:r>
          </w:p>
        </w:tc>
        <w:tc>
          <w:tcPr>
            <w:tcW w:w="2704" w:type="dxa"/>
            <w:vAlign w:val="center"/>
          </w:tcPr>
          <w:p w:rsidR="008B6FCD" w:rsidRDefault="008B6FCD" w:rsidP="008852CC">
            <w:pPr>
              <w:spacing w:line="540" w:lineRule="exact"/>
              <w:jc w:val="left"/>
              <w:rPr>
                <w:rFonts w:ascii="宋体" w:hAnsi="宋体"/>
                <w:sz w:val="18"/>
                <w:szCs w:val="18"/>
              </w:rPr>
            </w:pPr>
            <w:r>
              <w:rPr>
                <w:rFonts w:ascii="宋体" w:hAnsi="宋体" w:hint="eastAsia"/>
                <w:sz w:val="18"/>
                <w:szCs w:val="18"/>
              </w:rPr>
              <w:t>《生产经营单位安全培训规定》（总局3号令）第二十二条、第十三条第二款，《炼铁安全规程》4.11,《冶金企业和有色金属企业安全生产规定》（总局91号令）第十一条。</w:t>
            </w:r>
          </w:p>
        </w:tc>
        <w:tc>
          <w:tcPr>
            <w:tcW w:w="1863" w:type="dxa"/>
            <w:vAlign w:val="center"/>
          </w:tcPr>
          <w:p w:rsidR="008B6FCD" w:rsidRDefault="008B6FCD" w:rsidP="008852CC">
            <w:pPr>
              <w:spacing w:line="540" w:lineRule="exact"/>
              <w:jc w:val="left"/>
              <w:rPr>
                <w:rFonts w:ascii="宋体" w:hAnsi="宋体"/>
                <w:sz w:val="18"/>
                <w:szCs w:val="18"/>
              </w:rPr>
            </w:pPr>
            <w:r>
              <w:rPr>
                <w:rFonts w:ascii="宋体" w:hAnsi="宋体" w:hint="eastAsia"/>
                <w:sz w:val="18"/>
                <w:szCs w:val="18"/>
              </w:rPr>
              <w:t>抽查4名高温熔融、煤气作业等重点岗位人员的安全培训档案，查记录是否齐全及培训范围、学时是否符合要求。</w:t>
            </w:r>
          </w:p>
        </w:tc>
      </w:tr>
      <w:tr w:rsidR="008B6FCD" w:rsidTr="008852CC">
        <w:trPr>
          <w:trHeight w:val="280"/>
          <w:jc w:val="center"/>
        </w:trPr>
        <w:tc>
          <w:tcPr>
            <w:tcW w:w="817" w:type="dxa"/>
            <w:vMerge w:val="restart"/>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lastRenderedPageBreak/>
              <w:t>3</w:t>
            </w:r>
          </w:p>
        </w:tc>
        <w:tc>
          <w:tcPr>
            <w:tcW w:w="1073" w:type="dxa"/>
            <w:vMerge w:val="restart"/>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重大危险源</w:t>
            </w: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登记建档情况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企业应当对本企业存在的各类危险因素进行辨识，在有较大危险因素的场所和设施、设备上，按照有关国家标准、行业标准的要求设置安全警示标志，并定期进行检查维护。对于辨识出的重大危险源，企业应当登记建档、监测监控，定期检测、评估，制定应急预案并定期开展应急演练。评估报告的有效期为三年，重大危险源的安全设施和安全监测监控系统定期检测并在有效期内。</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《危险化学品重大危险源监督管理暂行规定》（总局40号令）第二十二条、第十一条、第十五条,《冶金企业和有色金属企业安全生产规定》（总局91号令）第十六条。</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查看企业重大危险源相关档案资料、评估报告、相关检测报告。</w:t>
            </w:r>
          </w:p>
        </w:tc>
      </w:tr>
      <w:tr w:rsidR="008B6FCD" w:rsidTr="008852CC">
        <w:trPr>
          <w:trHeight w:val="1788"/>
          <w:jc w:val="center"/>
        </w:trPr>
        <w:tc>
          <w:tcPr>
            <w:tcW w:w="817" w:type="dxa"/>
            <w:vMerge/>
            <w:vAlign w:val="center"/>
          </w:tcPr>
          <w:p w:rsidR="008B6FCD" w:rsidRDefault="008B6FCD" w:rsidP="008852CC">
            <w:pPr>
              <w:spacing w:line="560" w:lineRule="exact"/>
              <w:jc w:val="left"/>
              <w:rPr>
                <w:rFonts w:ascii="宋体" w:hAnsi="宋体"/>
                <w:sz w:val="18"/>
                <w:szCs w:val="18"/>
              </w:rPr>
            </w:pPr>
          </w:p>
        </w:tc>
        <w:tc>
          <w:tcPr>
            <w:tcW w:w="1073" w:type="dxa"/>
            <w:vMerge/>
            <w:vAlign w:val="center"/>
          </w:tcPr>
          <w:p w:rsidR="008B6FCD" w:rsidRDefault="008B6FCD" w:rsidP="008852CC">
            <w:pPr>
              <w:spacing w:line="560" w:lineRule="exact"/>
              <w:jc w:val="left"/>
              <w:rPr>
                <w:rFonts w:ascii="宋体" w:hAnsi="宋体"/>
                <w:sz w:val="18"/>
                <w:szCs w:val="18"/>
              </w:rPr>
            </w:pP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备案情况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①企业应将重大危险源安全评估报告或者评价报告、备案申请表、重大危险源档案材料报送所在地县级安监部门备案。</w:t>
            </w:r>
          </w:p>
          <w:p w:rsidR="008B6FCD" w:rsidRDefault="008B6FCD" w:rsidP="008852CC">
            <w:pPr>
              <w:spacing w:line="560" w:lineRule="exact"/>
              <w:jc w:val="left"/>
              <w:rPr>
                <w:rFonts w:ascii="宋体" w:hAnsi="宋体"/>
                <w:sz w:val="18"/>
                <w:szCs w:val="18"/>
              </w:rPr>
            </w:pPr>
            <w:r>
              <w:rPr>
                <w:rFonts w:ascii="宋体" w:hAnsi="宋体" w:hint="eastAsia"/>
                <w:sz w:val="18"/>
                <w:szCs w:val="18"/>
              </w:rPr>
              <w:t>②企业重大危险源评估报告满三年、装置设施新（改、扩）建、危险化学品种类、数量、储存方式及重要设备设施发生变化，应重新备案。</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《危险化学品重大危险源监督管理暂行规定》（总局40号令）第二十三条。</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查看企业的重大危险源备案回执和评估报告的期限以及与现场相符性。</w:t>
            </w:r>
          </w:p>
        </w:tc>
      </w:tr>
      <w:tr w:rsidR="008B6FCD" w:rsidTr="008852CC">
        <w:trPr>
          <w:trHeight w:val="2441"/>
          <w:jc w:val="center"/>
        </w:trPr>
        <w:tc>
          <w:tcPr>
            <w:tcW w:w="817" w:type="dxa"/>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lastRenderedPageBreak/>
              <w:t>4</w:t>
            </w:r>
          </w:p>
        </w:tc>
        <w:tc>
          <w:tcPr>
            <w:tcW w:w="107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外包管理</w:t>
            </w: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签订安全管理协议情况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①生产经营单位对生产经营项目、场所、设备发包或者出租时，应对承包单位、承租单位的安全生产条件或者资质进行审查。</w:t>
            </w:r>
          </w:p>
          <w:p w:rsidR="008B6FCD" w:rsidRDefault="008B6FCD" w:rsidP="008852CC">
            <w:pPr>
              <w:spacing w:line="560" w:lineRule="exact"/>
              <w:jc w:val="left"/>
              <w:rPr>
                <w:rFonts w:ascii="宋体" w:hAnsi="宋体"/>
                <w:sz w:val="18"/>
                <w:szCs w:val="18"/>
              </w:rPr>
            </w:pPr>
            <w:r>
              <w:rPr>
                <w:rFonts w:ascii="宋体" w:hAnsi="宋体" w:hint="eastAsia"/>
                <w:sz w:val="18"/>
                <w:szCs w:val="18"/>
              </w:rPr>
              <w:t>②企业应当与承包单位、承租单位签订专门的安全生产管理协议，或者在承包合同、租赁合同中约定各自的安全生产管理职责。</w:t>
            </w:r>
          </w:p>
          <w:p w:rsidR="008B6FCD" w:rsidRDefault="008B6FCD" w:rsidP="008852CC">
            <w:pPr>
              <w:widowControl/>
              <w:shd w:val="clear" w:color="auto" w:fill="FFFFFF"/>
              <w:spacing w:line="560" w:lineRule="exact"/>
              <w:jc w:val="left"/>
              <w:rPr>
                <w:rFonts w:ascii="宋体" w:hAnsi="宋体"/>
                <w:kern w:val="0"/>
                <w:sz w:val="18"/>
                <w:szCs w:val="18"/>
              </w:rPr>
            </w:pPr>
            <w:r>
              <w:rPr>
                <w:rFonts w:ascii="宋体" w:hAnsi="宋体" w:hint="eastAsia"/>
                <w:kern w:val="0"/>
                <w:sz w:val="18"/>
                <w:szCs w:val="18"/>
              </w:rPr>
              <w:t>③</w:t>
            </w:r>
            <w:r>
              <w:rPr>
                <w:rFonts w:ascii="宋体" w:hAnsi="宋体" w:hint="eastAsia"/>
                <w:sz w:val="18"/>
                <w:szCs w:val="18"/>
              </w:rPr>
              <w:t>企业应当对承包单位的安全生产进行统一协调、管理，对从事检修工程的承包单位检修方案中的安全措施和应急处置措施进行审核，监督承包单位落实。企业应当对承包检修作业现场进行安全交底，并安排专人负责安全检查和协调。</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《安全生产法》第四十六条，《冶金企业和有色金属企业安全生产规定》（总局91号令）第二十条。</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①查阅承包方资质等相关材料；②查阅安全管理协议或者承包合同，中是否有关于安全管理方面的规定；③查阅企业检修方案以及检修安全检查记录。</w:t>
            </w:r>
          </w:p>
        </w:tc>
      </w:tr>
      <w:tr w:rsidR="008B6FCD" w:rsidTr="008852CC">
        <w:trPr>
          <w:trHeight w:val="90"/>
          <w:jc w:val="center"/>
        </w:trPr>
        <w:tc>
          <w:tcPr>
            <w:tcW w:w="817" w:type="dxa"/>
            <w:vMerge w:val="restart"/>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t>5</w:t>
            </w:r>
          </w:p>
        </w:tc>
        <w:tc>
          <w:tcPr>
            <w:tcW w:w="1073" w:type="dxa"/>
            <w:vMerge w:val="restart"/>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危险作业管理</w:t>
            </w: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危险作业管理制度制定情况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安全生产管理制度应当涵盖本单位的煤气、动火、有限空间、高处作业、抽堵盲板等危险作业管理，以及法律、法规、规章规定的其他内容。</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《山东省生产经营单位安全生产主体责任规定》（省政府令第260号）第七条。</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查阅制度文本。</w:t>
            </w:r>
          </w:p>
        </w:tc>
      </w:tr>
      <w:tr w:rsidR="008B6FCD" w:rsidTr="008852CC">
        <w:trPr>
          <w:trHeight w:val="2639"/>
          <w:jc w:val="center"/>
        </w:trPr>
        <w:tc>
          <w:tcPr>
            <w:tcW w:w="817" w:type="dxa"/>
            <w:vMerge/>
            <w:vAlign w:val="center"/>
          </w:tcPr>
          <w:p w:rsidR="008B6FCD" w:rsidRDefault="008B6FCD" w:rsidP="008852CC">
            <w:pPr>
              <w:spacing w:line="560" w:lineRule="exact"/>
              <w:jc w:val="center"/>
              <w:rPr>
                <w:rFonts w:ascii="宋体" w:hAnsi="宋体"/>
                <w:sz w:val="18"/>
                <w:szCs w:val="18"/>
              </w:rPr>
            </w:pPr>
          </w:p>
        </w:tc>
        <w:tc>
          <w:tcPr>
            <w:tcW w:w="1073" w:type="dxa"/>
            <w:vMerge/>
            <w:vAlign w:val="center"/>
          </w:tcPr>
          <w:p w:rsidR="008B6FCD" w:rsidRDefault="008B6FCD" w:rsidP="008852CC">
            <w:pPr>
              <w:spacing w:line="560" w:lineRule="exact"/>
              <w:jc w:val="left"/>
              <w:rPr>
                <w:rFonts w:ascii="宋体" w:hAnsi="宋体"/>
                <w:sz w:val="18"/>
                <w:szCs w:val="18"/>
              </w:rPr>
            </w:pP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企业危险作业审批、实施情况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①动火作业必须按程序办理动火审批，取得作业许可证；许可证中要包括作业对象和环境的危害分析和可燃气体检测分析以及现场安全措施确认等内容。</w:t>
            </w:r>
          </w:p>
          <w:p w:rsidR="008B6FCD" w:rsidRDefault="008B6FCD" w:rsidP="008852CC">
            <w:pPr>
              <w:spacing w:line="560" w:lineRule="exact"/>
              <w:jc w:val="left"/>
              <w:rPr>
                <w:rFonts w:ascii="宋体" w:hAnsi="宋体"/>
                <w:sz w:val="18"/>
                <w:szCs w:val="18"/>
              </w:rPr>
            </w:pPr>
            <w:r>
              <w:rPr>
                <w:rFonts w:ascii="宋体" w:hAnsi="宋体" w:hint="eastAsia"/>
                <w:sz w:val="18"/>
                <w:szCs w:val="18"/>
              </w:rPr>
              <w:t>②有限空间作业必须办理作业许可证，许可证中应体现作业现场通风、照明、警戒、防护、应急等措施落实情况，作业前对现场有毒有害气体检测情况；配足个体安全防护设备设施配备情况以及安排专人监护等情况。</w:t>
            </w:r>
          </w:p>
          <w:p w:rsidR="008B6FCD" w:rsidRDefault="008B6FCD" w:rsidP="008852CC">
            <w:pPr>
              <w:spacing w:line="560" w:lineRule="exact"/>
              <w:jc w:val="left"/>
              <w:rPr>
                <w:rFonts w:ascii="宋体" w:hAnsi="宋体"/>
                <w:sz w:val="18"/>
                <w:szCs w:val="18"/>
              </w:rPr>
            </w:pPr>
            <w:r>
              <w:rPr>
                <w:rFonts w:ascii="宋体" w:hAnsi="宋体" w:hint="eastAsia"/>
                <w:sz w:val="18"/>
                <w:szCs w:val="18"/>
              </w:rPr>
              <w:t>③煤气作业环节必须实行严格的审批管理制度。</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①《山东省生产经营单位安全生产主体责任规定》（省政府令第260号）第三十一条。</w:t>
            </w:r>
          </w:p>
          <w:p w:rsidR="008B6FCD" w:rsidRDefault="008B6FCD" w:rsidP="008852CC">
            <w:pPr>
              <w:spacing w:line="560" w:lineRule="exact"/>
              <w:jc w:val="left"/>
              <w:rPr>
                <w:rFonts w:ascii="宋体" w:hAnsi="宋体"/>
                <w:sz w:val="18"/>
                <w:szCs w:val="18"/>
              </w:rPr>
            </w:pPr>
            <w:r>
              <w:rPr>
                <w:rFonts w:ascii="宋体" w:hAnsi="宋体" w:hint="eastAsia"/>
                <w:sz w:val="18"/>
                <w:szCs w:val="18"/>
              </w:rPr>
              <w:t>②《工贸企业有限公司作业安全管理与监督管理规定》（总局59号令）第八条、第九条、第十二条、第十三条。</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查看企业的危险作业票，作业票中检测、审批、安全措施确认等内容填写是否齐全。</w:t>
            </w:r>
          </w:p>
        </w:tc>
      </w:tr>
      <w:tr w:rsidR="008B6FCD" w:rsidTr="008852CC">
        <w:trPr>
          <w:trHeight w:val="1131"/>
          <w:jc w:val="center"/>
        </w:trPr>
        <w:tc>
          <w:tcPr>
            <w:tcW w:w="817" w:type="dxa"/>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lastRenderedPageBreak/>
              <w:t>6</w:t>
            </w:r>
          </w:p>
        </w:tc>
        <w:tc>
          <w:tcPr>
            <w:tcW w:w="107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安全设备管理</w:t>
            </w: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安全设备定期维护保养及检测情况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金属冶炼企业必须对CO气体检测报警仪、可燃气体检测报警仪、空气呼吸器、压力表、安全阀等安全设备进行经常性维护、保养，并定期检测，保证正常运转。维护、保养、检测应当作好记录，并由有关人员签字。</w:t>
            </w:r>
          </w:p>
          <w:p w:rsidR="008B6FCD" w:rsidRDefault="008B6FCD" w:rsidP="008852CC">
            <w:pPr>
              <w:widowControl/>
              <w:shd w:val="clear" w:color="auto" w:fill="FFFFFF"/>
              <w:spacing w:line="560" w:lineRule="exact"/>
              <w:jc w:val="left"/>
              <w:rPr>
                <w:rFonts w:ascii="宋体" w:hAnsi="宋体"/>
                <w:kern w:val="0"/>
                <w:sz w:val="18"/>
                <w:szCs w:val="18"/>
              </w:rPr>
            </w:pPr>
            <w:r>
              <w:rPr>
                <w:rFonts w:ascii="宋体" w:hAnsi="宋体" w:hint="eastAsia"/>
                <w:kern w:val="0"/>
                <w:sz w:val="18"/>
                <w:szCs w:val="18"/>
              </w:rPr>
              <w:t>②</w:t>
            </w:r>
            <w:r>
              <w:rPr>
                <w:rFonts w:ascii="宋体" w:hAnsi="宋体" w:hint="eastAsia"/>
                <w:sz w:val="18"/>
                <w:szCs w:val="18"/>
              </w:rPr>
              <w:t>建立健全设备设施安全管理制度，加强设备设施的检查、维护、保养和检修，确保设备设施安全运行。对重要岗位的电气、机械等设备，企业应当实行操作牌制度。</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《安全生产法》第三十三条，《冶金企业和有色金属企业安全生产规定》（总局91号令）第二十三条。</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检查企业安全设备台账及维护保养记录、安全设备定期检测报告</w:t>
            </w:r>
          </w:p>
        </w:tc>
      </w:tr>
      <w:tr w:rsidR="008B6FCD" w:rsidTr="008852CC">
        <w:trPr>
          <w:jc w:val="center"/>
        </w:trPr>
        <w:tc>
          <w:tcPr>
            <w:tcW w:w="817" w:type="dxa"/>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t>7</w:t>
            </w:r>
          </w:p>
        </w:tc>
        <w:tc>
          <w:tcPr>
            <w:tcW w:w="107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劳动防护</w:t>
            </w:r>
            <w:r>
              <w:rPr>
                <w:rFonts w:ascii="宋体" w:hAnsi="宋体" w:hint="eastAsia"/>
                <w:sz w:val="18"/>
                <w:szCs w:val="18"/>
              </w:rPr>
              <w:lastRenderedPageBreak/>
              <w:t>用品管理</w:t>
            </w: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劳动防护</w:t>
            </w:r>
            <w:r>
              <w:rPr>
                <w:rFonts w:ascii="宋体" w:hAnsi="宋体" w:hint="eastAsia"/>
                <w:sz w:val="18"/>
                <w:szCs w:val="18"/>
              </w:rPr>
              <w:lastRenderedPageBreak/>
              <w:t>用品配备情况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必须为从业人员提供符合国家标准或者行业标准的劳动防护用品，并监督、教育从业</w:t>
            </w:r>
            <w:r>
              <w:rPr>
                <w:rFonts w:ascii="宋体" w:hAnsi="宋体" w:hint="eastAsia"/>
                <w:sz w:val="18"/>
                <w:szCs w:val="18"/>
              </w:rPr>
              <w:lastRenderedPageBreak/>
              <w:t>人员按照使用规则佩戴、使用。</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《安全生产法》第四十二条、《山</w:t>
            </w:r>
            <w:r>
              <w:rPr>
                <w:rFonts w:ascii="宋体" w:hAnsi="宋体" w:hint="eastAsia"/>
                <w:sz w:val="18"/>
                <w:szCs w:val="18"/>
              </w:rPr>
              <w:lastRenderedPageBreak/>
              <w:t>东省劳动防护用品配备标准》（DB37/1922—2011）、《用人单位劳动防护用品管理规范》。</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查制度、配备标准及</w:t>
            </w:r>
            <w:r>
              <w:rPr>
                <w:rFonts w:ascii="宋体" w:hAnsi="宋体" w:hint="eastAsia"/>
                <w:sz w:val="18"/>
                <w:szCs w:val="18"/>
              </w:rPr>
              <w:lastRenderedPageBreak/>
              <w:t>采购、发放台账；现场检查实物和佩戴情况。</w:t>
            </w:r>
          </w:p>
        </w:tc>
      </w:tr>
      <w:tr w:rsidR="008B6FCD" w:rsidTr="008852CC">
        <w:trPr>
          <w:trHeight w:val="1948"/>
          <w:jc w:val="center"/>
        </w:trPr>
        <w:tc>
          <w:tcPr>
            <w:tcW w:w="817" w:type="dxa"/>
            <w:vMerge w:val="restart"/>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lastRenderedPageBreak/>
              <w:t>8</w:t>
            </w:r>
          </w:p>
        </w:tc>
        <w:tc>
          <w:tcPr>
            <w:tcW w:w="1073" w:type="dxa"/>
            <w:vMerge w:val="restart"/>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应急管理</w:t>
            </w: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应急预案编制、评审、备案情况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生产经营单位应当根据有关法律、法规和国家标准结合本单位的危险源状况、危险性分析情况和可能发生的事故特点（如火灾、爆炸、触电和毒物逸散等事故类型），制定相应的应急预案，分为综合应急预案、专项应急预案和现场处置方案。</w:t>
            </w:r>
          </w:p>
          <w:p w:rsidR="008B6FCD" w:rsidRDefault="008B6FCD" w:rsidP="008852CC">
            <w:pPr>
              <w:spacing w:line="560" w:lineRule="exact"/>
              <w:jc w:val="left"/>
              <w:rPr>
                <w:rFonts w:ascii="宋体" w:hAnsi="宋体"/>
                <w:sz w:val="18"/>
                <w:szCs w:val="18"/>
              </w:rPr>
            </w:pPr>
            <w:r>
              <w:rPr>
                <w:rFonts w:ascii="宋体" w:hAnsi="宋体" w:hint="eastAsia"/>
                <w:sz w:val="18"/>
                <w:szCs w:val="18"/>
              </w:rPr>
              <w:t>②应当对本单位编制的应急预案进行评审，并形成书面评审纪要。</w:t>
            </w:r>
          </w:p>
          <w:p w:rsidR="008B6FCD" w:rsidRDefault="008B6FCD" w:rsidP="008852CC">
            <w:pPr>
              <w:spacing w:line="560" w:lineRule="exact"/>
              <w:jc w:val="left"/>
              <w:rPr>
                <w:rFonts w:ascii="宋体" w:hAnsi="宋体"/>
                <w:sz w:val="18"/>
                <w:szCs w:val="18"/>
              </w:rPr>
            </w:pPr>
            <w:r>
              <w:rPr>
                <w:rFonts w:ascii="宋体" w:hAnsi="宋体" w:hint="eastAsia"/>
                <w:sz w:val="18"/>
                <w:szCs w:val="18"/>
              </w:rPr>
              <w:t>③应当按照隶属关系报所在地县级以上地方人民政府安全生产监督管理部门备案。</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《生产安全事故应急预案管理办法》（总局88号令）第六条、第十二条、第二十一条、第二十六条；《生产经营单位生产安全事故应急预案编制导则》（GB/T29639-2013）。</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查看企业的应急救援预案文本、评审记录以及备案登记表。</w:t>
            </w:r>
          </w:p>
        </w:tc>
      </w:tr>
      <w:tr w:rsidR="008B6FCD" w:rsidTr="008852CC">
        <w:trPr>
          <w:trHeight w:val="90"/>
          <w:jc w:val="center"/>
        </w:trPr>
        <w:tc>
          <w:tcPr>
            <w:tcW w:w="817" w:type="dxa"/>
            <w:vMerge/>
            <w:vAlign w:val="center"/>
          </w:tcPr>
          <w:p w:rsidR="008B6FCD" w:rsidRDefault="008B6FCD" w:rsidP="008852CC">
            <w:pPr>
              <w:spacing w:line="560" w:lineRule="exact"/>
              <w:jc w:val="center"/>
              <w:rPr>
                <w:rFonts w:ascii="宋体" w:hAnsi="宋体"/>
                <w:sz w:val="18"/>
                <w:szCs w:val="18"/>
              </w:rPr>
            </w:pPr>
          </w:p>
        </w:tc>
        <w:tc>
          <w:tcPr>
            <w:tcW w:w="1073" w:type="dxa"/>
            <w:vMerge/>
            <w:vAlign w:val="center"/>
          </w:tcPr>
          <w:p w:rsidR="008B6FCD" w:rsidRDefault="008B6FCD" w:rsidP="008852CC">
            <w:pPr>
              <w:spacing w:line="560" w:lineRule="exact"/>
              <w:jc w:val="left"/>
              <w:rPr>
                <w:rFonts w:ascii="宋体" w:hAnsi="宋体"/>
                <w:sz w:val="18"/>
                <w:szCs w:val="18"/>
              </w:rPr>
            </w:pPr>
          </w:p>
        </w:tc>
        <w:tc>
          <w:tcPr>
            <w:tcW w:w="993" w:type="dxa"/>
            <w:vAlign w:val="center"/>
          </w:tcPr>
          <w:p w:rsidR="008B6FCD" w:rsidRDefault="008B6FCD" w:rsidP="008852CC">
            <w:pPr>
              <w:spacing w:line="560" w:lineRule="exact"/>
              <w:rPr>
                <w:rFonts w:ascii="宋体" w:hAnsi="宋体"/>
                <w:sz w:val="18"/>
                <w:szCs w:val="18"/>
              </w:rPr>
            </w:pPr>
            <w:r>
              <w:rPr>
                <w:rFonts w:ascii="宋体" w:hAnsi="宋体" w:hint="eastAsia"/>
                <w:sz w:val="18"/>
                <w:szCs w:val="18"/>
              </w:rPr>
              <w:t>应急演练情况</w:t>
            </w:r>
          </w:p>
        </w:tc>
        <w:tc>
          <w:tcPr>
            <w:tcW w:w="6945" w:type="dxa"/>
            <w:vAlign w:val="center"/>
          </w:tcPr>
          <w:p w:rsidR="008B6FCD" w:rsidRDefault="008B6FCD" w:rsidP="008852CC">
            <w:pPr>
              <w:spacing w:line="560" w:lineRule="exact"/>
              <w:rPr>
                <w:rFonts w:ascii="宋体" w:hAnsi="宋体"/>
                <w:sz w:val="18"/>
                <w:szCs w:val="18"/>
              </w:rPr>
            </w:pPr>
            <w:r>
              <w:rPr>
                <w:rFonts w:ascii="宋体" w:hAnsi="宋体" w:hint="eastAsia"/>
                <w:sz w:val="18"/>
                <w:szCs w:val="18"/>
              </w:rPr>
              <w:t>应当制定应急预案演练计划，每年至少组织一次综合或者专项应急预案演练，每半年至少组织一次现场处置方案演练。</w:t>
            </w:r>
          </w:p>
        </w:tc>
        <w:tc>
          <w:tcPr>
            <w:tcW w:w="2704" w:type="dxa"/>
            <w:vAlign w:val="center"/>
          </w:tcPr>
          <w:p w:rsidR="008B6FCD" w:rsidRDefault="008B6FCD" w:rsidP="008852CC">
            <w:pPr>
              <w:spacing w:line="560" w:lineRule="exact"/>
              <w:rPr>
                <w:rFonts w:ascii="宋体" w:hAnsi="宋体"/>
                <w:sz w:val="18"/>
                <w:szCs w:val="18"/>
              </w:rPr>
            </w:pPr>
            <w:r>
              <w:rPr>
                <w:rFonts w:ascii="宋体" w:hAnsi="宋体" w:hint="eastAsia"/>
                <w:sz w:val="18"/>
                <w:szCs w:val="18"/>
              </w:rPr>
              <w:t>《生产安全事故应急预案管理办法》（总局88号令）第三十三条。</w:t>
            </w:r>
          </w:p>
        </w:tc>
        <w:tc>
          <w:tcPr>
            <w:tcW w:w="1863" w:type="dxa"/>
            <w:vAlign w:val="center"/>
          </w:tcPr>
          <w:p w:rsidR="008B6FCD" w:rsidRDefault="008B6FCD" w:rsidP="008852CC">
            <w:pPr>
              <w:spacing w:line="560" w:lineRule="exact"/>
              <w:rPr>
                <w:rFonts w:ascii="宋体" w:hAnsi="宋体"/>
                <w:sz w:val="18"/>
                <w:szCs w:val="18"/>
              </w:rPr>
            </w:pPr>
            <w:r>
              <w:rPr>
                <w:rFonts w:ascii="宋体" w:hAnsi="宋体" w:hint="eastAsia"/>
                <w:sz w:val="18"/>
                <w:szCs w:val="18"/>
              </w:rPr>
              <w:t>查看企业的演练计划和2016、2017年度应急演练台账、记录。</w:t>
            </w:r>
          </w:p>
        </w:tc>
      </w:tr>
      <w:tr w:rsidR="008B6FCD" w:rsidTr="008852CC">
        <w:trPr>
          <w:trHeight w:val="911"/>
          <w:jc w:val="center"/>
        </w:trPr>
        <w:tc>
          <w:tcPr>
            <w:tcW w:w="817" w:type="dxa"/>
            <w:vMerge w:val="restart"/>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t>9</w:t>
            </w:r>
          </w:p>
        </w:tc>
        <w:tc>
          <w:tcPr>
            <w:tcW w:w="1073" w:type="dxa"/>
            <w:vMerge w:val="restart"/>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煤气管理</w:t>
            </w: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建立健全</w:t>
            </w:r>
            <w:r>
              <w:rPr>
                <w:rFonts w:ascii="宋体" w:hAnsi="宋体" w:hint="eastAsia"/>
                <w:sz w:val="18"/>
                <w:szCs w:val="18"/>
              </w:rPr>
              <w:lastRenderedPageBreak/>
              <w:t>制度情况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至少包括：煤气设施技术档案管理制度；煤气设施运行管理制度；煤气设施检查制度；</w:t>
            </w:r>
            <w:r>
              <w:rPr>
                <w:rFonts w:ascii="宋体" w:hAnsi="宋体" w:hint="eastAsia"/>
                <w:sz w:val="18"/>
                <w:szCs w:val="18"/>
              </w:rPr>
              <w:lastRenderedPageBreak/>
              <w:t>煤气设施检修管理制度；进入涉煤气有限空间管理制度；煤气设施动火审批管理制度等。</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《工业企业煤气安全规程》</w:t>
            </w:r>
            <w:r>
              <w:rPr>
                <w:rFonts w:ascii="宋体" w:hAnsi="宋体" w:hint="eastAsia"/>
                <w:sz w:val="18"/>
                <w:szCs w:val="18"/>
              </w:rPr>
              <w:lastRenderedPageBreak/>
              <w:t>（GB6222-2005）</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查看企业煤气作业管</w:t>
            </w:r>
            <w:r>
              <w:rPr>
                <w:rFonts w:ascii="宋体" w:hAnsi="宋体" w:hint="eastAsia"/>
                <w:sz w:val="18"/>
                <w:szCs w:val="18"/>
              </w:rPr>
              <w:lastRenderedPageBreak/>
              <w:t>理制度文本。</w:t>
            </w:r>
          </w:p>
        </w:tc>
      </w:tr>
      <w:tr w:rsidR="008B6FCD" w:rsidTr="008852CC">
        <w:trPr>
          <w:trHeight w:val="853"/>
          <w:jc w:val="center"/>
        </w:trPr>
        <w:tc>
          <w:tcPr>
            <w:tcW w:w="817" w:type="dxa"/>
            <w:vMerge/>
            <w:vAlign w:val="center"/>
          </w:tcPr>
          <w:p w:rsidR="008B6FCD" w:rsidRDefault="008B6FCD" w:rsidP="008852CC">
            <w:pPr>
              <w:spacing w:line="560" w:lineRule="exact"/>
              <w:jc w:val="left"/>
              <w:rPr>
                <w:rFonts w:ascii="宋体" w:hAnsi="宋体"/>
                <w:sz w:val="18"/>
                <w:szCs w:val="18"/>
              </w:rPr>
            </w:pPr>
          </w:p>
        </w:tc>
        <w:tc>
          <w:tcPr>
            <w:tcW w:w="1073" w:type="dxa"/>
            <w:vMerge/>
            <w:vAlign w:val="center"/>
          </w:tcPr>
          <w:p w:rsidR="008B6FCD" w:rsidRDefault="008B6FCD" w:rsidP="008852CC">
            <w:pPr>
              <w:spacing w:line="560" w:lineRule="exact"/>
              <w:jc w:val="left"/>
              <w:rPr>
                <w:rFonts w:ascii="宋体" w:hAnsi="宋体"/>
                <w:sz w:val="18"/>
                <w:szCs w:val="18"/>
              </w:rPr>
            </w:pP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防护机构设置情况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每个生产、供应和使用煤气的企业，应设煤气防护站或煤气防护组，并配备必要的人员，建立紧急救护体系。</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《工业企业煤气安全规程》（GB6222）</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查看设立文件，现场查看防护站设置情况。</w:t>
            </w:r>
          </w:p>
        </w:tc>
      </w:tr>
      <w:tr w:rsidR="008B6FCD" w:rsidTr="008852CC">
        <w:trPr>
          <w:trHeight w:val="1307"/>
          <w:jc w:val="center"/>
        </w:trPr>
        <w:tc>
          <w:tcPr>
            <w:tcW w:w="817" w:type="dxa"/>
            <w:vMerge/>
            <w:vAlign w:val="center"/>
          </w:tcPr>
          <w:p w:rsidR="008B6FCD" w:rsidRDefault="008B6FCD" w:rsidP="008852CC">
            <w:pPr>
              <w:spacing w:line="560" w:lineRule="exact"/>
              <w:jc w:val="left"/>
              <w:rPr>
                <w:rFonts w:ascii="宋体" w:hAnsi="宋体"/>
                <w:sz w:val="18"/>
                <w:szCs w:val="18"/>
              </w:rPr>
            </w:pPr>
          </w:p>
        </w:tc>
        <w:tc>
          <w:tcPr>
            <w:tcW w:w="1073" w:type="dxa"/>
            <w:vMerge/>
            <w:vAlign w:val="center"/>
          </w:tcPr>
          <w:p w:rsidR="008B6FCD" w:rsidRDefault="008B6FCD" w:rsidP="008852CC">
            <w:pPr>
              <w:spacing w:line="560" w:lineRule="exact"/>
              <w:jc w:val="left"/>
              <w:rPr>
                <w:rFonts w:ascii="宋体" w:hAnsi="宋体"/>
                <w:sz w:val="18"/>
                <w:szCs w:val="18"/>
              </w:rPr>
            </w:pPr>
          </w:p>
        </w:tc>
        <w:tc>
          <w:tcPr>
            <w:tcW w:w="99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设备设施档案台账管理情况</w:t>
            </w:r>
          </w:p>
        </w:tc>
        <w:tc>
          <w:tcPr>
            <w:tcW w:w="6945"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主要包括：煤气设备设施设计文件；煤气主要设备图纸；煤气设备、管道检验检测报告；煤气设备、管道日常检查检测记录；煤气系统工艺流程图；煤气设备设施巡检记录；煤气动火审批记录、动火证；煤气管道壁厚检测、支架检测、气柜基础沉降检测记录和评估报告；煤气监测、防护、救护设备台账等。</w:t>
            </w:r>
          </w:p>
        </w:tc>
        <w:tc>
          <w:tcPr>
            <w:tcW w:w="2704"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《关于进一步加强全省金属冶炼企业安全生产工作的意见》（鲁安监发〔2016〕77号）。</w:t>
            </w:r>
          </w:p>
        </w:tc>
        <w:tc>
          <w:tcPr>
            <w:tcW w:w="1863" w:type="dxa"/>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查看煤气设备设施台账。</w:t>
            </w:r>
          </w:p>
        </w:tc>
      </w:tr>
      <w:tr w:rsidR="008B6FCD" w:rsidTr="008852CC">
        <w:tblPrEx>
          <w:tblBorders>
            <w:insideH w:val="none" w:sz="0" w:space="0" w:color="auto"/>
            <w:insideV w:val="none" w:sz="0" w:space="0" w:color="auto"/>
          </w:tblBorders>
        </w:tblPrEx>
        <w:trPr>
          <w:trHeight w:val="1449"/>
          <w:jc w:val="center"/>
        </w:trPr>
        <w:tc>
          <w:tcPr>
            <w:tcW w:w="817"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kern w:val="0"/>
                <w:sz w:val="18"/>
                <w:szCs w:val="18"/>
              </w:rPr>
              <w:t>10</w:t>
            </w:r>
          </w:p>
        </w:tc>
        <w:tc>
          <w:tcPr>
            <w:tcW w:w="1073" w:type="dxa"/>
            <w:vMerge w:val="restart"/>
            <w:tcBorders>
              <w:top w:val="single" w:sz="4" w:space="0" w:color="auto"/>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r>
              <w:rPr>
                <w:rFonts w:ascii="宋体" w:hAnsi="宋体" w:cs="仿宋" w:hint="eastAsia"/>
                <w:kern w:val="0"/>
                <w:sz w:val="18"/>
                <w:szCs w:val="18"/>
              </w:rPr>
              <w:t>高温熔融金属</w:t>
            </w: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center"/>
              <w:rPr>
                <w:rFonts w:ascii="宋体" w:hAnsi="宋体" w:cs="仿宋"/>
                <w:sz w:val="18"/>
                <w:szCs w:val="18"/>
              </w:rPr>
            </w:pPr>
            <w:r>
              <w:rPr>
                <w:rFonts w:ascii="宋体" w:hAnsi="宋体" w:cs="仿宋" w:hint="eastAsia"/>
                <w:sz w:val="18"/>
                <w:szCs w:val="18"/>
              </w:rPr>
              <w:t>铁水罐</w:t>
            </w:r>
          </w:p>
          <w:p w:rsidR="008B6FCD" w:rsidRDefault="008B6FCD" w:rsidP="008852CC">
            <w:pPr>
              <w:autoSpaceDE w:val="0"/>
              <w:autoSpaceDN w:val="0"/>
              <w:adjustRightInd w:val="0"/>
              <w:spacing w:line="560" w:lineRule="exact"/>
              <w:jc w:val="center"/>
              <w:rPr>
                <w:rFonts w:ascii="宋体" w:hAnsi="宋体" w:cs="仿宋"/>
                <w:sz w:val="18"/>
                <w:szCs w:val="18"/>
              </w:rPr>
            </w:pPr>
            <w:r>
              <w:rPr>
                <w:rFonts w:ascii="宋体" w:hAnsi="宋体" w:cs="仿宋" w:hint="eastAsia"/>
                <w:sz w:val="18"/>
                <w:szCs w:val="18"/>
              </w:rPr>
              <w:t>钢水罐</w:t>
            </w:r>
          </w:p>
          <w:p w:rsidR="008B6FCD" w:rsidRDefault="008B6FCD" w:rsidP="008852CC">
            <w:pPr>
              <w:autoSpaceDE w:val="0"/>
              <w:autoSpaceDN w:val="0"/>
              <w:adjustRightInd w:val="0"/>
              <w:spacing w:line="560" w:lineRule="exact"/>
              <w:jc w:val="center"/>
              <w:rPr>
                <w:rFonts w:ascii="宋体" w:hAnsi="宋体" w:cs="仿宋"/>
                <w:sz w:val="18"/>
                <w:szCs w:val="18"/>
              </w:rPr>
            </w:pPr>
            <w:r>
              <w:rPr>
                <w:rFonts w:ascii="宋体" w:hAnsi="宋体" w:cs="仿宋" w:hint="eastAsia"/>
                <w:sz w:val="18"/>
                <w:szCs w:val="18"/>
              </w:rPr>
              <w:t>中间罐</w:t>
            </w:r>
          </w:p>
          <w:p w:rsidR="008B6FCD" w:rsidRDefault="008B6FCD" w:rsidP="008852CC">
            <w:pPr>
              <w:autoSpaceDE w:val="0"/>
              <w:autoSpaceDN w:val="0"/>
              <w:adjustRightInd w:val="0"/>
              <w:spacing w:line="560" w:lineRule="exact"/>
              <w:jc w:val="center"/>
              <w:rPr>
                <w:rFonts w:ascii="宋体" w:hAnsi="宋体" w:cs="仿宋"/>
                <w:sz w:val="18"/>
                <w:szCs w:val="18"/>
              </w:rPr>
            </w:pPr>
            <w:r>
              <w:rPr>
                <w:rFonts w:ascii="宋体" w:hAnsi="宋体" w:cs="仿宋" w:hint="eastAsia"/>
                <w:sz w:val="18"/>
                <w:szCs w:val="18"/>
              </w:rPr>
              <w:t>渣罐</w:t>
            </w:r>
          </w:p>
          <w:p w:rsidR="008B6FCD" w:rsidRDefault="008B6FCD" w:rsidP="008852CC">
            <w:pPr>
              <w:autoSpaceDE w:val="0"/>
              <w:autoSpaceDN w:val="0"/>
              <w:adjustRightInd w:val="0"/>
              <w:spacing w:line="560" w:lineRule="exact"/>
              <w:jc w:val="center"/>
              <w:rPr>
                <w:rFonts w:ascii="宋体" w:hAnsi="宋体" w:cs="仿宋"/>
                <w:sz w:val="18"/>
                <w:szCs w:val="18"/>
              </w:rPr>
            </w:pPr>
            <w:r>
              <w:rPr>
                <w:rFonts w:ascii="宋体" w:hAnsi="宋体" w:cs="仿宋" w:hint="eastAsia"/>
                <w:sz w:val="18"/>
                <w:szCs w:val="18"/>
              </w:rPr>
              <w:lastRenderedPageBreak/>
              <w:t>铜包</w:t>
            </w: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lastRenderedPageBreak/>
              <w:t>企业的操作室、会议室、活动室、休息室、更衣室等场所不得设置在高温熔融金属吊运的影响范围内。进行高温熔融金属吊运时，吊罐（包）与大型槽体、高压设备、高压管路、压力容器的安全距离应当符合有关国家标准或者行业标准的规定，并采取有效的防护措施。</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《冶金企业和有色金属企业安全生产规定》（总局</w:t>
            </w:r>
            <w:r>
              <w:rPr>
                <w:rFonts w:ascii="宋体" w:hAnsi="宋体" w:cs="仿宋"/>
                <w:sz w:val="18"/>
                <w:szCs w:val="18"/>
              </w:rPr>
              <w:t>91号令）第二十</w:t>
            </w:r>
            <w:r>
              <w:rPr>
                <w:rFonts w:ascii="宋体" w:hAnsi="宋体" w:cs="仿宋" w:hint="eastAsia"/>
                <w:sz w:val="18"/>
                <w:szCs w:val="18"/>
              </w:rPr>
              <w:t>七</w:t>
            </w:r>
            <w:r>
              <w:rPr>
                <w:rFonts w:ascii="宋体" w:hAnsi="宋体" w:cs="仿宋"/>
                <w:sz w:val="18"/>
                <w:szCs w:val="18"/>
              </w:rPr>
              <w:t>条。</w:t>
            </w:r>
          </w:p>
        </w:tc>
        <w:tc>
          <w:tcPr>
            <w:tcW w:w="1863"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987"/>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ind w:firstLine="360"/>
              <w:rPr>
                <w:rFonts w:ascii="宋体" w:hAnsi="宋体" w:cs="仿宋"/>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铁水罐、钢水罐和中间包修砌后，应干燥，使用前烘烤至要求温度方可使用。</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《炼铁安全规程》11.3.1《炼钢安全规程》8.1.4。</w:t>
            </w:r>
          </w:p>
        </w:tc>
        <w:tc>
          <w:tcPr>
            <w:tcW w:w="1863"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查看操作及检查记录，现场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987"/>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ind w:firstLine="360"/>
              <w:rPr>
                <w:rFonts w:ascii="宋体" w:hAnsi="宋体" w:cs="仿宋"/>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铁水罐、钢水罐内的自由空间高度应满足工艺设计要求。</w:t>
            </w:r>
            <w:r>
              <w:rPr>
                <w:rFonts w:ascii="宋体" w:hAnsi="宋体" w:cs="仿宋"/>
                <w:sz w:val="18"/>
                <w:szCs w:val="18"/>
              </w:rPr>
              <w:t>渣、铁罐内的最高渣、铁液面，应低于罐沿0.3m。</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《炼钢安全规程》8.1.9、《炼铁安全规程》11.3.2。</w:t>
            </w:r>
          </w:p>
        </w:tc>
        <w:tc>
          <w:tcPr>
            <w:tcW w:w="1863"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692"/>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ind w:firstLine="360"/>
              <w:rPr>
                <w:rFonts w:ascii="宋体" w:hAnsi="宋体" w:cs="仿宋"/>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炉、窑、槽、罐类设备本体及附属设施应定期检查，出现严重焊缝开裂、腐蚀、破损、衬砖损坏、壳体发红及明显弯曲变形等应报修或报废，禁止继续使用。</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《工贸行业重大生产安全事故隐患判定标准（</w:t>
            </w:r>
            <w:r>
              <w:rPr>
                <w:rFonts w:ascii="宋体" w:hAnsi="宋体" w:cs="仿宋"/>
                <w:sz w:val="18"/>
                <w:szCs w:val="18"/>
              </w:rPr>
              <w:t>2017版）》冶金行业第</w:t>
            </w:r>
            <w:r>
              <w:rPr>
                <w:rFonts w:ascii="宋体" w:hAnsi="宋体" w:cs="仿宋" w:hint="eastAsia"/>
                <w:sz w:val="18"/>
                <w:szCs w:val="18"/>
              </w:rPr>
              <w:t>5</w:t>
            </w:r>
            <w:r>
              <w:rPr>
                <w:rFonts w:ascii="宋体" w:hAnsi="宋体" w:cs="仿宋"/>
                <w:sz w:val="18"/>
                <w:szCs w:val="18"/>
              </w:rPr>
              <w:t>项</w:t>
            </w:r>
            <w:r>
              <w:rPr>
                <w:rFonts w:ascii="宋体" w:hAnsi="宋体" w:cs="仿宋" w:hint="eastAsia"/>
                <w:sz w:val="18"/>
                <w:szCs w:val="18"/>
              </w:rPr>
              <w:t>。</w:t>
            </w:r>
          </w:p>
        </w:tc>
        <w:tc>
          <w:tcPr>
            <w:tcW w:w="1863"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现场验证</w:t>
            </w:r>
          </w:p>
        </w:tc>
      </w:tr>
      <w:tr w:rsidR="008B6FCD" w:rsidTr="008852CC">
        <w:tblPrEx>
          <w:tblBorders>
            <w:insideH w:val="none" w:sz="0" w:space="0" w:color="auto"/>
            <w:insideV w:val="none" w:sz="0" w:space="0" w:color="auto"/>
          </w:tblBorders>
        </w:tblPrEx>
        <w:trPr>
          <w:trHeight w:val="120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ind w:firstLine="360"/>
              <w:rPr>
                <w:rFonts w:ascii="宋体" w:hAnsi="宋体" w:cs="仿宋"/>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冶炼、熔炼、精炼生产区域的安全坑内及溶体泄露、喷溅影响范围内不应有积水、潮湿杂物和易燃易爆物。金属铸造、连铸、浇铸流程应设置铁水罐、钢水罐、溢流槽、中间溢流罐等熔融金属紧急排放和应急储存设施。</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《工贸行业重大生产安全事故隐患判定标准（</w:t>
            </w:r>
            <w:r>
              <w:rPr>
                <w:rFonts w:ascii="宋体" w:hAnsi="宋体" w:cs="仿宋"/>
                <w:sz w:val="18"/>
                <w:szCs w:val="18"/>
              </w:rPr>
              <w:t>2017版）》冶金行业第</w:t>
            </w:r>
            <w:r>
              <w:rPr>
                <w:rFonts w:ascii="宋体" w:hAnsi="宋体" w:cs="仿宋" w:hint="eastAsia"/>
                <w:sz w:val="18"/>
                <w:szCs w:val="18"/>
              </w:rPr>
              <w:t>4</w:t>
            </w:r>
            <w:r>
              <w:rPr>
                <w:rFonts w:ascii="宋体" w:hAnsi="宋体" w:cs="仿宋"/>
                <w:sz w:val="18"/>
                <w:szCs w:val="18"/>
              </w:rPr>
              <w:t>项</w:t>
            </w:r>
            <w:r>
              <w:rPr>
                <w:rFonts w:ascii="宋体" w:hAnsi="宋体" w:cs="仿宋" w:hint="eastAsia"/>
                <w:sz w:val="18"/>
                <w:szCs w:val="18"/>
              </w:rPr>
              <w:t>。</w:t>
            </w:r>
          </w:p>
        </w:tc>
        <w:tc>
          <w:tcPr>
            <w:tcW w:w="1863"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现场验证</w:t>
            </w:r>
          </w:p>
        </w:tc>
      </w:tr>
      <w:tr w:rsidR="008B6FCD" w:rsidTr="008852CC">
        <w:tblPrEx>
          <w:tblBorders>
            <w:insideH w:val="none" w:sz="0" w:space="0" w:color="auto"/>
            <w:insideV w:val="none" w:sz="0" w:space="0" w:color="auto"/>
          </w:tblBorders>
        </w:tblPrEx>
        <w:trPr>
          <w:trHeight w:val="1503"/>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993" w:type="dxa"/>
            <w:vMerge/>
            <w:tcBorders>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sz w:val="18"/>
                <w:szCs w:val="18"/>
              </w:rPr>
              <w:t>应对罐体和耳轴进行探伤检测，耳轴每年检测一次，罐体每2年检测一次。</w:t>
            </w:r>
            <w:r>
              <w:rPr>
                <w:rFonts w:ascii="宋体" w:hAnsi="宋体" w:cs="仿宋" w:hint="eastAsia"/>
                <w:sz w:val="18"/>
                <w:szCs w:val="18"/>
              </w:rPr>
              <w:t>凡耳轴出现内裂纹、壳体焊缝开裂、明显变形、耳轴磨损大于直径的10％、机械失灵、衬砖损坏超过规定，均应报修或报废。</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《炼铁安全规程》11.3.4、《炼钢安全规程》8.1.3、《冶金企业和有色金属企业安全生产规</w:t>
            </w:r>
            <w:r>
              <w:rPr>
                <w:rFonts w:ascii="宋体" w:hAnsi="宋体" w:cs="仿宋" w:hint="eastAsia"/>
                <w:sz w:val="18"/>
                <w:szCs w:val="18"/>
              </w:rPr>
              <w:lastRenderedPageBreak/>
              <w:t>定》（总局</w:t>
            </w:r>
            <w:r>
              <w:rPr>
                <w:rFonts w:ascii="宋体" w:hAnsi="宋体" w:cs="仿宋"/>
                <w:sz w:val="18"/>
                <w:szCs w:val="18"/>
              </w:rPr>
              <w:t>91号令）第</w:t>
            </w:r>
            <w:r>
              <w:rPr>
                <w:rFonts w:ascii="宋体" w:hAnsi="宋体" w:cs="仿宋" w:hint="eastAsia"/>
                <w:sz w:val="18"/>
                <w:szCs w:val="18"/>
              </w:rPr>
              <w:t>三</w:t>
            </w:r>
            <w:r>
              <w:rPr>
                <w:rFonts w:ascii="宋体" w:hAnsi="宋体" w:cs="仿宋"/>
                <w:sz w:val="18"/>
                <w:szCs w:val="18"/>
              </w:rPr>
              <w:t>十条</w:t>
            </w:r>
            <w:r>
              <w:rPr>
                <w:rFonts w:ascii="宋体" w:hAnsi="宋体" w:cs="仿宋" w:hint="eastAsia"/>
                <w:sz w:val="18"/>
                <w:szCs w:val="18"/>
              </w:rPr>
              <w:t>。</w:t>
            </w:r>
          </w:p>
        </w:tc>
        <w:tc>
          <w:tcPr>
            <w:tcW w:w="1863"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lastRenderedPageBreak/>
              <w:t>查看检测报告、检查记录，现场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1024"/>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center"/>
              <w:rPr>
                <w:rFonts w:ascii="宋体" w:hAnsi="宋体" w:cs="仿宋"/>
                <w:sz w:val="18"/>
                <w:szCs w:val="18"/>
              </w:rPr>
            </w:pPr>
            <w:r>
              <w:rPr>
                <w:rFonts w:ascii="宋体" w:hAnsi="宋体" w:cs="仿宋" w:hint="eastAsia"/>
                <w:sz w:val="18"/>
                <w:szCs w:val="18"/>
              </w:rPr>
              <w:t>起重机械</w:t>
            </w:r>
          </w:p>
          <w:p w:rsidR="008B6FCD" w:rsidRDefault="008B6FCD" w:rsidP="008852CC">
            <w:pPr>
              <w:autoSpaceDE w:val="0"/>
              <w:autoSpaceDN w:val="0"/>
              <w:adjustRightInd w:val="0"/>
              <w:spacing w:line="560" w:lineRule="exact"/>
              <w:ind w:firstLine="360"/>
              <w:rPr>
                <w:rFonts w:ascii="宋体" w:hAnsi="宋体" w:cs="仿宋"/>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用于炼钢厂的铸造起重机，在吊运重罐钢水、铁水或液渣时，应使用带有固定龙门钩的铸造起重机，龙门沟横梁、耳轴销和吊钩、钢丝绳及其端头固定零件，应进行定期检查，发现问题及时整改。</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《冶金起重机技术条件第5部分：铸造起重机》4.3.2，《工贸行业重大生产安全事故隐患判定标准（</w:t>
            </w:r>
            <w:r>
              <w:rPr>
                <w:rFonts w:ascii="宋体" w:hAnsi="宋体" w:cs="仿宋"/>
                <w:sz w:val="18"/>
                <w:szCs w:val="18"/>
              </w:rPr>
              <w:t>2017版）》冶金行业第</w:t>
            </w:r>
            <w:r>
              <w:rPr>
                <w:rFonts w:ascii="宋体" w:hAnsi="宋体" w:cs="仿宋" w:hint="eastAsia"/>
                <w:sz w:val="18"/>
                <w:szCs w:val="18"/>
              </w:rPr>
              <w:t>2</w:t>
            </w:r>
            <w:r>
              <w:rPr>
                <w:rFonts w:ascii="宋体" w:hAnsi="宋体" w:cs="仿宋"/>
                <w:sz w:val="18"/>
                <w:szCs w:val="18"/>
              </w:rPr>
              <w:t>项</w:t>
            </w:r>
            <w:r>
              <w:rPr>
                <w:rFonts w:ascii="宋体" w:hAnsi="宋体" w:cs="仿宋" w:hint="eastAsia"/>
                <w:sz w:val="18"/>
                <w:szCs w:val="18"/>
              </w:rPr>
              <w:t>。</w:t>
            </w:r>
          </w:p>
        </w:tc>
        <w:tc>
          <w:tcPr>
            <w:tcW w:w="1863" w:type="dxa"/>
            <w:vMerge w:val="restart"/>
            <w:tcBorders>
              <w:top w:val="single" w:sz="4" w:space="0" w:color="auto"/>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查看检测报告、产品质量证明书、合格证等，检查各类记录，现场</w:t>
            </w:r>
            <w:r>
              <w:rPr>
                <w:rFonts w:ascii="宋体" w:hAnsi="宋体" w:cs="仿宋" w:hint="eastAsia"/>
                <w:sz w:val="18"/>
                <w:szCs w:val="18"/>
              </w:rPr>
              <w:t>验证</w:t>
            </w:r>
          </w:p>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查看检测报告、产品质量证明书、合格证等，检查各类记录，现场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1412"/>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ind w:firstLine="360"/>
              <w:rPr>
                <w:rFonts w:ascii="宋体" w:hAnsi="宋体" w:cs="仿宋"/>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吊运熔融金属的起升机构，每套独立驱动装置应装有两个支持制动器（工作制动器）。</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《起重机械安全规程》4.1.1、《起重机械安全技术监察规程－桥式起重机》第六十七条。</w:t>
            </w:r>
          </w:p>
        </w:tc>
        <w:tc>
          <w:tcPr>
            <w:tcW w:w="186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sz w:val="18"/>
                <w:szCs w:val="18"/>
              </w:rPr>
            </w:pPr>
          </w:p>
        </w:tc>
      </w:tr>
      <w:tr w:rsidR="008B6FCD" w:rsidTr="008852CC">
        <w:tblPrEx>
          <w:tblBorders>
            <w:insideH w:val="none" w:sz="0" w:space="0" w:color="auto"/>
            <w:insideV w:val="none" w:sz="0" w:space="0" w:color="auto"/>
          </w:tblBorders>
        </w:tblPrEx>
        <w:trPr>
          <w:trHeight w:val="887"/>
          <w:jc w:val="center"/>
        </w:trPr>
        <w:tc>
          <w:tcPr>
            <w:tcW w:w="817"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ind w:firstLine="360"/>
              <w:rPr>
                <w:rFonts w:ascii="宋体" w:hAnsi="宋体" w:cs="仿宋"/>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吊运熔融或炽热金属的钢丝绳，应当采用石棉绳芯或者金属股芯等耐高温的重要用途钢丝绳。</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《起重机械安全技术监察规程－桥式起重机》第四十二条。</w:t>
            </w:r>
          </w:p>
        </w:tc>
        <w:tc>
          <w:tcPr>
            <w:tcW w:w="186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r>
      <w:tr w:rsidR="008B6FCD" w:rsidTr="008852CC">
        <w:tblPrEx>
          <w:tblBorders>
            <w:insideH w:val="none" w:sz="0" w:space="0" w:color="auto"/>
            <w:insideV w:val="none" w:sz="0" w:space="0" w:color="auto"/>
          </w:tblBorders>
        </w:tblPrEx>
        <w:trPr>
          <w:trHeight w:val="418"/>
          <w:jc w:val="center"/>
        </w:trPr>
        <w:tc>
          <w:tcPr>
            <w:tcW w:w="817"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kern w:val="0"/>
                <w:sz w:val="18"/>
                <w:szCs w:val="18"/>
              </w:rPr>
              <w:lastRenderedPageBreak/>
              <w:t>10</w:t>
            </w:r>
          </w:p>
        </w:tc>
        <w:tc>
          <w:tcPr>
            <w:tcW w:w="1073" w:type="dxa"/>
            <w:vMerge w:val="restart"/>
            <w:tcBorders>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高温熔融金属</w:t>
            </w: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以电动葫芦作为起升机构吊运熔融的起重机额定起重量不得大于10t。</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《起重机械安全技术监察规程-桥式起重机》第六条。</w:t>
            </w:r>
          </w:p>
        </w:tc>
        <w:tc>
          <w:tcPr>
            <w:tcW w:w="186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r>
      <w:tr w:rsidR="008B6FCD" w:rsidTr="008852CC">
        <w:tblPrEx>
          <w:tblBorders>
            <w:insideH w:val="none" w:sz="0" w:space="0" w:color="auto"/>
            <w:insideV w:val="none" w:sz="0" w:space="0" w:color="auto"/>
          </w:tblBorders>
        </w:tblPrEx>
        <w:trPr>
          <w:trHeight w:val="940"/>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hint="eastAsia"/>
                <w:sz w:val="18"/>
                <w:szCs w:val="18"/>
              </w:rPr>
              <w:t>①</w:t>
            </w:r>
            <w:r>
              <w:rPr>
                <w:rFonts w:ascii="宋体" w:hAnsi="宋体" w:cs="仿宋" w:hint="eastAsia"/>
                <w:sz w:val="18"/>
                <w:szCs w:val="18"/>
              </w:rPr>
              <w:t>应设置不同形式的上升极限位置双重限位器。</w:t>
            </w:r>
          </w:p>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②当起升高度大于20m时，还应设置下降极限位置限位器。</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《起重机械安全技术监察规程-桥式起重机》第七十条。</w:t>
            </w:r>
          </w:p>
        </w:tc>
        <w:tc>
          <w:tcPr>
            <w:tcW w:w="186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r>
      <w:tr w:rsidR="008B6FCD" w:rsidTr="008852CC">
        <w:tblPrEx>
          <w:tblBorders>
            <w:insideH w:val="none" w:sz="0" w:space="0" w:color="auto"/>
            <w:insideV w:val="none" w:sz="0" w:space="0" w:color="auto"/>
          </w:tblBorders>
        </w:tblPrEx>
        <w:trPr>
          <w:trHeight w:val="695"/>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受高温辐射的部分，应设置隔热板，防止受热超温。</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《起重机械安全技术监察规程-桥式起重机》第七十六条。</w:t>
            </w:r>
          </w:p>
        </w:tc>
        <w:tc>
          <w:tcPr>
            <w:tcW w:w="186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查看防护方案及检查记录，现场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706"/>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应进行定期检验，吊运熔融或炽热金属的起重机每年1次</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《起重机械安全技术监察规程-桥式起重机》第一百一十一条</w:t>
            </w:r>
          </w:p>
        </w:tc>
        <w:tc>
          <w:tcPr>
            <w:tcW w:w="186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查看检测报告，起重机械台帐</w:t>
            </w:r>
          </w:p>
        </w:tc>
      </w:tr>
      <w:tr w:rsidR="008B6FCD" w:rsidTr="008852CC">
        <w:tblPrEx>
          <w:tblBorders>
            <w:insideH w:val="none" w:sz="0" w:space="0" w:color="auto"/>
            <w:insideV w:val="none" w:sz="0" w:space="0" w:color="auto"/>
          </w:tblBorders>
        </w:tblPrEx>
        <w:trPr>
          <w:trHeight w:val="688"/>
          <w:jc w:val="center"/>
        </w:trPr>
        <w:tc>
          <w:tcPr>
            <w:tcW w:w="817"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vMerge/>
            <w:tcBorders>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sz w:val="18"/>
                <w:szCs w:val="18"/>
              </w:rPr>
            </w:pPr>
            <w:r>
              <w:rPr>
                <w:rFonts w:ascii="宋体" w:hAnsi="宋体" w:cs="仿宋" w:hint="eastAsia"/>
                <w:sz w:val="18"/>
                <w:szCs w:val="18"/>
              </w:rPr>
              <w:t>吊运重罐铁水、钢水、液渣，应确认挂钩挂牢，方可通知起重机司机起吊；起吊时，人员应站在安全位置，并尽量远离起吊地点。</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sz w:val="18"/>
                <w:szCs w:val="18"/>
              </w:rPr>
            </w:pPr>
            <w:r>
              <w:rPr>
                <w:rFonts w:ascii="宋体" w:hAnsi="宋体" w:cs="仿宋" w:hint="eastAsia"/>
                <w:sz w:val="18"/>
                <w:szCs w:val="18"/>
              </w:rPr>
              <w:t>《炼钢安全规程》8.4.6。</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查看检查记录，现场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2016"/>
          <w:jc w:val="center"/>
        </w:trPr>
        <w:tc>
          <w:tcPr>
            <w:tcW w:w="817" w:type="dxa"/>
            <w:vMerge w:val="restart"/>
            <w:tcBorders>
              <w:top w:val="single" w:sz="4" w:space="0" w:color="auto"/>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r>
              <w:rPr>
                <w:rFonts w:ascii="宋体" w:hAnsi="宋体" w:cs="仿宋" w:hint="eastAsia"/>
                <w:kern w:val="0"/>
                <w:sz w:val="18"/>
                <w:szCs w:val="18"/>
              </w:rPr>
              <w:t>11</w:t>
            </w:r>
          </w:p>
        </w:tc>
        <w:tc>
          <w:tcPr>
            <w:tcW w:w="1073" w:type="dxa"/>
            <w:vMerge w:val="restart"/>
            <w:tcBorders>
              <w:left w:val="single" w:sz="4" w:space="0" w:color="auto"/>
              <w:right w:val="single" w:sz="4" w:space="0" w:color="auto"/>
            </w:tcBorders>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t>煤气单元</w:t>
            </w: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煤气柜</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①煤气柜不应建设在居民稠密区，应远离大型建筑、仓库、通信和交通枢纽等重要设施；附属设备设施应按防火防爆要求配置防爆型设备；柜顶应设置防雷装置。</w:t>
            </w:r>
          </w:p>
          <w:p w:rsidR="008B6FCD" w:rsidRDefault="008B6FCD" w:rsidP="008852CC">
            <w:pPr>
              <w:spacing w:line="560" w:lineRule="exact"/>
              <w:jc w:val="left"/>
              <w:rPr>
                <w:rFonts w:ascii="宋体" w:hAnsi="宋体"/>
                <w:sz w:val="18"/>
                <w:szCs w:val="18"/>
              </w:rPr>
            </w:pPr>
            <w:r>
              <w:rPr>
                <w:rFonts w:ascii="宋体" w:hAnsi="宋体" w:hint="eastAsia"/>
                <w:sz w:val="18"/>
                <w:szCs w:val="18"/>
              </w:rPr>
              <w:t>②煤气柜应有容积指示装置，柜位达到上限时应关闭煤气入口阀，并设有放散设施，</w:t>
            </w:r>
            <w:r>
              <w:rPr>
                <w:rFonts w:ascii="宋体" w:hAnsi="宋体" w:hint="eastAsia"/>
                <w:sz w:val="18"/>
                <w:szCs w:val="18"/>
              </w:rPr>
              <w:lastRenderedPageBreak/>
              <w:t>还应有煤气柜位降到下限时，自动停止向外输出煤气或自动充压的装置。</w:t>
            </w:r>
          </w:p>
          <w:p w:rsidR="008B6FCD" w:rsidRDefault="008B6FCD" w:rsidP="008852CC">
            <w:pPr>
              <w:spacing w:line="560" w:lineRule="exact"/>
              <w:jc w:val="left"/>
              <w:rPr>
                <w:rFonts w:ascii="宋体" w:hAnsi="宋体" w:cs="仿宋"/>
                <w:sz w:val="18"/>
                <w:szCs w:val="18"/>
              </w:rPr>
            </w:pPr>
            <w:r>
              <w:rPr>
                <w:rFonts w:ascii="宋体" w:hAnsi="宋体" w:hint="eastAsia"/>
                <w:sz w:val="18"/>
                <w:szCs w:val="18"/>
              </w:rPr>
              <w:t>③煤气柜应设操作室，室内设有压力计、流量计、高、低位指示计，容积上、下声光讯信号装置和联系电话。</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《工贸行业重大生产安全事故隐患判定标准（</w:t>
            </w:r>
            <w:r>
              <w:rPr>
                <w:rFonts w:ascii="宋体" w:hAnsi="宋体"/>
                <w:sz w:val="18"/>
                <w:szCs w:val="18"/>
              </w:rPr>
              <w:t>2017版）》</w:t>
            </w:r>
            <w:r>
              <w:rPr>
                <w:rFonts w:ascii="宋体" w:hAnsi="宋体" w:hint="eastAsia"/>
                <w:sz w:val="18"/>
                <w:szCs w:val="18"/>
              </w:rPr>
              <w:t>（</w:t>
            </w:r>
          </w:p>
          <w:p w:rsidR="008B6FCD" w:rsidRDefault="008B6FCD" w:rsidP="008852CC">
            <w:pPr>
              <w:spacing w:line="560" w:lineRule="exact"/>
              <w:jc w:val="left"/>
              <w:rPr>
                <w:rFonts w:ascii="宋体" w:hAnsi="宋体" w:cs="仿宋"/>
                <w:sz w:val="18"/>
                <w:szCs w:val="18"/>
              </w:rPr>
            </w:pPr>
            <w:r>
              <w:rPr>
                <w:rFonts w:ascii="宋体" w:hAnsi="宋体" w:hint="eastAsia"/>
                <w:sz w:val="18"/>
                <w:szCs w:val="18"/>
              </w:rPr>
              <w:t>安监总管四〔</w:t>
            </w:r>
            <w:r>
              <w:rPr>
                <w:rFonts w:ascii="宋体" w:hAnsi="宋体"/>
                <w:sz w:val="18"/>
                <w:szCs w:val="18"/>
              </w:rPr>
              <w:t>2017〕129号</w:t>
            </w:r>
            <w:r>
              <w:rPr>
                <w:rFonts w:ascii="宋体" w:hAnsi="宋体" w:hint="eastAsia"/>
                <w:sz w:val="18"/>
                <w:szCs w:val="18"/>
              </w:rPr>
              <w:t>）冶</w:t>
            </w:r>
            <w:r>
              <w:rPr>
                <w:rFonts w:ascii="宋体" w:hAnsi="宋体" w:hint="eastAsia"/>
                <w:sz w:val="18"/>
                <w:szCs w:val="18"/>
              </w:rPr>
              <w:lastRenderedPageBreak/>
              <w:t>金行业第7项。《工业煤气安全规程》（GB6222-2005）9.1.2.3款、9.1.2.4款。</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hint="eastAsia"/>
                <w:sz w:val="18"/>
                <w:szCs w:val="18"/>
              </w:rPr>
              <w:lastRenderedPageBreak/>
              <w:t>现场检查验证</w:t>
            </w:r>
          </w:p>
        </w:tc>
      </w:tr>
      <w:tr w:rsidR="008B6FCD" w:rsidTr="008852CC">
        <w:tblPrEx>
          <w:tblBorders>
            <w:insideH w:val="none" w:sz="0" w:space="0" w:color="auto"/>
            <w:insideV w:val="none" w:sz="0" w:space="0" w:color="auto"/>
          </w:tblBorders>
        </w:tblPrEx>
        <w:trPr>
          <w:trHeight w:val="1704"/>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煤气发生炉</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中央控制室应设有调度电话和一般电话，并设有煤气发生炉进口饱和空气压力计、温度计、流量计、煤气发生炉出口煤气压力计、温度计、煤气高低压和空气低压报警装置、主要自动控制调节装置、连锁装置及灯光信号等。</w:t>
            </w:r>
          </w:p>
          <w:p w:rsidR="008B6FCD" w:rsidRDefault="008B6FCD" w:rsidP="008852CC">
            <w:pPr>
              <w:spacing w:line="560" w:lineRule="exact"/>
              <w:jc w:val="left"/>
              <w:rPr>
                <w:rFonts w:ascii="宋体" w:hAnsi="宋体" w:cs="仿宋"/>
                <w:sz w:val="18"/>
                <w:szCs w:val="18"/>
              </w:rPr>
            </w:pPr>
            <w:r>
              <w:rPr>
                <w:rFonts w:ascii="宋体" w:hAnsi="宋体" w:hint="eastAsia"/>
                <w:sz w:val="18"/>
                <w:szCs w:val="18"/>
              </w:rPr>
              <w:t>②水套集汽包应设有安全阀、自动水位控制器，进水管应设止回阀，严禁在水夹套与集汽包连接管上加装阀门。</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《工业煤气安全规程》（GB6222-2005）5.1.2.3款、5.1.3.4款。</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hint="eastAsia"/>
                <w:sz w:val="18"/>
                <w:szCs w:val="18"/>
              </w:rPr>
              <w:t>现场检查验证</w:t>
            </w:r>
          </w:p>
        </w:tc>
      </w:tr>
      <w:tr w:rsidR="008B6FCD" w:rsidTr="008852CC">
        <w:tblPrEx>
          <w:tblBorders>
            <w:insideH w:val="none" w:sz="0" w:space="0" w:color="auto"/>
            <w:insideV w:val="none" w:sz="0" w:space="0" w:color="auto"/>
          </w:tblBorders>
        </w:tblPrEx>
        <w:trPr>
          <w:trHeight w:val="168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高炉煤气</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t>①高炉煤气电除尘应设有当高炉煤气含氧量达到1%时，能自动切断电源的装置；电除尘器应设有放散管、蒸汽管、泄爆装置。</w:t>
            </w:r>
            <w:r>
              <w:rPr>
                <w:rFonts w:ascii="宋体" w:hAnsi="宋体" w:hint="eastAsia"/>
                <w:sz w:val="18"/>
                <w:szCs w:val="18"/>
              </w:rPr>
              <w:br/>
              <w:t>②布袋除尘器每个出入口应设有可靠的隔断装置；布袋除尘器应设有煤气高、低温报警和低压报警装置；布袋除尘器箱体应采用泄爆装置。</w:t>
            </w:r>
          </w:p>
          <w:p w:rsidR="008B6FCD" w:rsidRDefault="008B6FCD" w:rsidP="008852CC">
            <w:pPr>
              <w:spacing w:line="560" w:lineRule="exact"/>
              <w:jc w:val="left"/>
              <w:rPr>
                <w:rFonts w:ascii="宋体" w:hAnsi="宋体" w:cs="仿宋"/>
                <w:sz w:val="18"/>
                <w:szCs w:val="18"/>
              </w:rPr>
            </w:pPr>
            <w:r>
              <w:rPr>
                <w:rFonts w:ascii="宋体" w:hAnsi="宋体" w:hint="eastAsia"/>
                <w:sz w:val="18"/>
                <w:szCs w:val="18"/>
              </w:rPr>
              <w:t>③余压透平进出口煤气管道上应设有可靠的隔断装置。</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《工业煤气安全规程》（GB6222-2005）5.3.2.4款、5.3.2.5款、5.3.2.6款。</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hint="eastAsia"/>
                <w:sz w:val="18"/>
                <w:szCs w:val="18"/>
              </w:rPr>
              <w:t>现场检查验证</w:t>
            </w:r>
          </w:p>
        </w:tc>
      </w:tr>
      <w:tr w:rsidR="008B6FCD" w:rsidTr="008852CC">
        <w:tblPrEx>
          <w:tblBorders>
            <w:insideH w:val="none" w:sz="0" w:space="0" w:color="auto"/>
            <w:insideV w:val="none" w:sz="0" w:space="0" w:color="auto"/>
          </w:tblBorders>
        </w:tblPrEx>
        <w:trPr>
          <w:trHeight w:val="1682"/>
          <w:jc w:val="center"/>
        </w:trPr>
        <w:tc>
          <w:tcPr>
            <w:tcW w:w="817" w:type="dxa"/>
            <w:vMerge/>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c>
          <w:tcPr>
            <w:tcW w:w="1073" w:type="dxa"/>
            <w:vMerge/>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转炉煤气</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①转炉煤气回收设施应设充氮装置及微氧量和一氧化碳含量的连续测定装置。当煤气含氧量超过2%或煤气柜位高度达到上限时应停止回收。</w:t>
            </w:r>
            <w:r>
              <w:rPr>
                <w:rFonts w:ascii="宋体" w:hAnsi="宋体" w:hint="eastAsia"/>
                <w:sz w:val="18"/>
                <w:szCs w:val="18"/>
              </w:rPr>
              <w:br/>
              <w:t>②转炉煤气电除尘器入口、出口管道应设可靠的隔断装置；应设有当转炉煤气含氧量达到1%时，能自动切断电源的装置；电除尘器应设有放散管及泄爆装置。</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①《工业煤气安全规程》（GB6222-2005）5.6.2.2款、5.6.2.11款。</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hint="eastAsia"/>
                <w:sz w:val="18"/>
                <w:szCs w:val="18"/>
              </w:rPr>
              <w:t>现场检查验证</w:t>
            </w:r>
          </w:p>
        </w:tc>
      </w:tr>
      <w:tr w:rsidR="008B6FCD" w:rsidTr="008852CC">
        <w:tblPrEx>
          <w:tblBorders>
            <w:insideH w:val="none" w:sz="0" w:space="0" w:color="auto"/>
            <w:insideV w:val="none" w:sz="0" w:space="0" w:color="auto"/>
          </w:tblBorders>
        </w:tblPrEx>
        <w:trPr>
          <w:trHeight w:val="740"/>
          <w:jc w:val="center"/>
        </w:trPr>
        <w:tc>
          <w:tcPr>
            <w:tcW w:w="817" w:type="dxa"/>
            <w:vMerge w:val="restart"/>
            <w:tcBorders>
              <w:top w:val="single" w:sz="4" w:space="0" w:color="auto"/>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r>
              <w:rPr>
                <w:rFonts w:ascii="宋体" w:hAnsi="宋体" w:cs="仿宋" w:hint="eastAsia"/>
                <w:kern w:val="0"/>
                <w:sz w:val="18"/>
                <w:szCs w:val="18"/>
              </w:rPr>
              <w:lastRenderedPageBreak/>
              <w:t>11</w:t>
            </w:r>
          </w:p>
        </w:tc>
        <w:tc>
          <w:tcPr>
            <w:tcW w:w="1073" w:type="dxa"/>
            <w:vMerge w:val="restart"/>
            <w:tcBorders>
              <w:left w:val="single" w:sz="4" w:space="0" w:color="auto"/>
              <w:right w:val="single" w:sz="4" w:space="0" w:color="auto"/>
            </w:tcBorders>
            <w:vAlign w:val="center"/>
          </w:tcPr>
          <w:p w:rsidR="008B6FCD" w:rsidRDefault="008B6FCD" w:rsidP="008852CC">
            <w:pPr>
              <w:spacing w:line="560" w:lineRule="exact"/>
              <w:jc w:val="center"/>
              <w:rPr>
                <w:rFonts w:ascii="宋体" w:hAnsi="宋体"/>
                <w:sz w:val="18"/>
                <w:szCs w:val="18"/>
              </w:rPr>
            </w:pPr>
            <w:r>
              <w:rPr>
                <w:rFonts w:ascii="宋体" w:hAnsi="宋体" w:hint="eastAsia"/>
                <w:sz w:val="18"/>
                <w:szCs w:val="18"/>
              </w:rPr>
              <w:t>煤气单元</w:t>
            </w: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煤气加压与混合</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站房内应设有一氧化碳监测装置，并把信号传送到管理室内。</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《工业煤气安全规程》（GB6222-2005）8.2.4款。</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hint="eastAsia"/>
                <w:sz w:val="18"/>
                <w:szCs w:val="18"/>
              </w:rPr>
              <w:t>现场检查验证</w:t>
            </w:r>
          </w:p>
        </w:tc>
      </w:tr>
      <w:tr w:rsidR="008B6FCD" w:rsidTr="008852CC">
        <w:tblPrEx>
          <w:tblBorders>
            <w:insideH w:val="none" w:sz="0" w:space="0" w:color="auto"/>
            <w:insideV w:val="none" w:sz="0" w:space="0" w:color="auto"/>
          </w:tblBorders>
        </w:tblPrEx>
        <w:trPr>
          <w:trHeight w:val="992"/>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煤气管道</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架空煤气管道应敷设在非燃烧体的支柱或</w:t>
            </w:r>
            <w:hyperlink r:id="rId18" w:tgtFrame="_blank" w:history="1">
              <w:r>
                <w:rPr>
                  <w:rFonts w:ascii="宋体" w:hAnsi="宋体" w:hint="eastAsia"/>
                  <w:sz w:val="18"/>
                  <w:szCs w:val="18"/>
                </w:rPr>
                <w:t>栈桥</w:t>
              </w:r>
            </w:hyperlink>
            <w:r>
              <w:rPr>
                <w:rFonts w:ascii="宋体" w:hAnsi="宋体" w:hint="eastAsia"/>
                <w:sz w:val="18"/>
                <w:szCs w:val="18"/>
              </w:rPr>
              <w:t>上；不能穿过不使用煤气的建筑物及易燃易爆物品的堆场和仓库区；煤气管道下面，不应修建与煤气管道无关的建筑物和存放易燃、易爆物品。</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《工业煤气安全规程》（GB6222）6.2.1.2款以及《冶金企业安全生产标准化》（煤气）6.1规定。</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hint="eastAsia"/>
                <w:sz w:val="18"/>
                <w:szCs w:val="18"/>
              </w:rPr>
              <w:t>现场检查验证</w:t>
            </w:r>
          </w:p>
        </w:tc>
      </w:tr>
      <w:tr w:rsidR="008B6FCD" w:rsidTr="008852CC">
        <w:tblPrEx>
          <w:tblBorders>
            <w:insideH w:val="none" w:sz="0" w:space="0" w:color="auto"/>
            <w:insideV w:val="none" w:sz="0" w:space="0" w:color="auto"/>
          </w:tblBorders>
        </w:tblPrEx>
        <w:trPr>
          <w:trHeight w:val="83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煤气水封（含排水器）</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水封装置（含排水器）必须能够检查水封高度和高水位溢流的排水口；严防水封装置的清扫孔（排污闸阀或旋塞）出现泄漏。</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安监总管四〔2010〕125号第六款。</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hint="eastAsia"/>
                <w:sz w:val="18"/>
                <w:szCs w:val="18"/>
              </w:rPr>
              <w:t>现场检查验证</w:t>
            </w:r>
          </w:p>
        </w:tc>
      </w:tr>
      <w:tr w:rsidR="008B6FCD" w:rsidTr="008852CC">
        <w:tblPrEx>
          <w:tblBorders>
            <w:insideH w:val="none" w:sz="0" w:space="0" w:color="auto"/>
            <w:insideV w:val="none" w:sz="0" w:space="0" w:color="auto"/>
          </w:tblBorders>
        </w:tblPrEx>
        <w:trPr>
          <w:trHeight w:val="89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煤气隔断</w:t>
            </w:r>
            <w:r>
              <w:rPr>
                <w:rFonts w:ascii="宋体" w:hAnsi="宋体" w:hint="eastAsia"/>
                <w:sz w:val="18"/>
                <w:szCs w:val="18"/>
              </w:rPr>
              <w:lastRenderedPageBreak/>
              <w:t>装置</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lastRenderedPageBreak/>
              <w:t>高炉、转炉、加热炉、煤气柜、除尘器等设施的煤气管道必须设置可靠隔离装置和吹</w:t>
            </w:r>
            <w:r>
              <w:rPr>
                <w:rFonts w:ascii="宋体" w:hAnsi="宋体" w:hint="eastAsia"/>
                <w:sz w:val="18"/>
                <w:szCs w:val="18"/>
              </w:rPr>
              <w:lastRenderedPageBreak/>
              <w:t>扫设施。煤气分配主管上支管引接处，应设置可靠的切断装置；车间内各类燃气管线，在车间入口应设置总管切断阀。。</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lastRenderedPageBreak/>
              <w:t>《工贸行业重大生产安全事故</w:t>
            </w:r>
            <w:r>
              <w:rPr>
                <w:rFonts w:ascii="宋体" w:hAnsi="宋体" w:hint="eastAsia"/>
                <w:sz w:val="18"/>
                <w:szCs w:val="18"/>
              </w:rPr>
              <w:lastRenderedPageBreak/>
              <w:t>隐患判定标准（</w:t>
            </w:r>
            <w:r>
              <w:rPr>
                <w:rFonts w:ascii="宋体" w:hAnsi="宋体"/>
                <w:sz w:val="18"/>
                <w:szCs w:val="18"/>
              </w:rPr>
              <w:t>2017版）》冶金行业第</w:t>
            </w:r>
            <w:r>
              <w:rPr>
                <w:rFonts w:ascii="宋体" w:hAnsi="宋体" w:hint="eastAsia"/>
                <w:sz w:val="18"/>
                <w:szCs w:val="18"/>
              </w:rPr>
              <w:t>9</w:t>
            </w:r>
            <w:r>
              <w:rPr>
                <w:rFonts w:ascii="宋体" w:hAnsi="宋体"/>
                <w:sz w:val="18"/>
                <w:szCs w:val="18"/>
              </w:rPr>
              <w:t>项</w:t>
            </w:r>
            <w:r>
              <w:rPr>
                <w:rFonts w:ascii="宋体" w:hAnsi="宋体" w:hint="eastAsia"/>
                <w:sz w:val="18"/>
                <w:szCs w:val="18"/>
              </w:rPr>
              <w:t>、第10项</w:t>
            </w:r>
            <w:r>
              <w:rPr>
                <w:rFonts w:ascii="宋体" w:hAnsi="宋体"/>
                <w:sz w:val="18"/>
                <w:szCs w:val="18"/>
              </w:rPr>
              <w:t>。</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sz w:val="18"/>
                <w:szCs w:val="18"/>
              </w:rPr>
            </w:pPr>
            <w:r>
              <w:rPr>
                <w:rFonts w:ascii="宋体" w:hAnsi="宋体" w:hint="eastAsia"/>
                <w:sz w:val="18"/>
                <w:szCs w:val="18"/>
              </w:rPr>
              <w:lastRenderedPageBreak/>
              <w:t>现场检查验证</w:t>
            </w:r>
          </w:p>
        </w:tc>
      </w:tr>
      <w:tr w:rsidR="008B6FCD" w:rsidTr="008852CC">
        <w:tblPrEx>
          <w:tblBorders>
            <w:insideH w:val="none" w:sz="0" w:space="0" w:color="auto"/>
            <w:insideV w:val="none" w:sz="0" w:space="0" w:color="auto"/>
          </w:tblBorders>
        </w:tblPrEx>
        <w:trPr>
          <w:trHeight w:val="1162"/>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煤气泄漏检测装置</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危险区域，包括高炉风口及以上平台、转炉炉口以上平台、煤气柜活塞上部、烧结点火器及热风炉、加热炉、管式炉、燃气锅炉等燃烧器旁等易产生煤气泄漏的区域和焦炉地下室、加压站房、风机房等封闭或半封闭空间等，应设固定式一氧化碳监测声光报警装置，并把信号传送到管理室。</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安监总管四〔2010〕125号第二款以及《冶金企业安全生产标准化》（煤气）6.1规定。</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sz w:val="18"/>
                <w:szCs w:val="18"/>
              </w:rPr>
            </w:pPr>
            <w:r>
              <w:rPr>
                <w:rFonts w:ascii="宋体" w:hAnsi="宋体" w:hint="eastAsia"/>
                <w:sz w:val="18"/>
                <w:szCs w:val="18"/>
              </w:rPr>
              <w:t>现场检查验证</w:t>
            </w:r>
          </w:p>
        </w:tc>
      </w:tr>
      <w:tr w:rsidR="008B6FCD" w:rsidTr="008852CC">
        <w:tblPrEx>
          <w:tblBorders>
            <w:insideH w:val="none" w:sz="0" w:space="0" w:color="auto"/>
            <w:insideV w:val="none" w:sz="0" w:space="0" w:color="auto"/>
          </w:tblBorders>
        </w:tblPrEx>
        <w:trPr>
          <w:trHeight w:val="1162"/>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煤气区域值班室、操作室设置</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fldChar w:fldCharType="begin"/>
            </w:r>
            <w:r>
              <w:rPr>
                <w:rFonts w:ascii="宋体" w:hAnsi="宋体" w:hint="eastAsia"/>
                <w:sz w:val="18"/>
                <w:szCs w:val="18"/>
              </w:rPr>
              <w:instrText>= 1 \* GB3</w:instrText>
            </w:r>
            <w:r>
              <w:rPr>
                <w:rFonts w:ascii="宋体" w:hAnsi="宋体" w:hint="eastAsia"/>
                <w:sz w:val="18"/>
                <w:szCs w:val="18"/>
              </w:rPr>
              <w:fldChar w:fldCharType="separate"/>
            </w:r>
            <w:r>
              <w:rPr>
                <w:rFonts w:ascii="宋体" w:hAnsi="宋体" w:hint="eastAsia"/>
                <w:sz w:val="18"/>
                <w:szCs w:val="18"/>
              </w:rPr>
              <w:t>①</w:t>
            </w:r>
            <w:r>
              <w:rPr>
                <w:rFonts w:ascii="宋体" w:hAnsi="宋体" w:hint="eastAsia"/>
                <w:sz w:val="18"/>
                <w:szCs w:val="18"/>
              </w:rPr>
              <w:fldChar w:fldCharType="end"/>
            </w:r>
            <w:r>
              <w:rPr>
                <w:rFonts w:ascii="宋体" w:hAnsi="宋体" w:hint="eastAsia"/>
                <w:sz w:val="18"/>
                <w:szCs w:val="18"/>
              </w:rPr>
              <w:t>煤气区域的值班室、操作室等人员较集中的地方，应设置固定式一氧化碳监测报警装置，报警信号应引致</w:t>
            </w:r>
            <w:r>
              <w:rPr>
                <w:rFonts w:ascii="宋体" w:hAnsi="宋体"/>
                <w:sz w:val="18"/>
                <w:szCs w:val="18"/>
              </w:rPr>
              <w:t>24小时有人值守的操作控制室集中监控</w:t>
            </w:r>
            <w:r>
              <w:rPr>
                <w:rFonts w:ascii="宋体" w:hAnsi="宋体" w:hint="eastAsia"/>
                <w:sz w:val="18"/>
                <w:szCs w:val="18"/>
              </w:rPr>
              <w:t>。。</w:t>
            </w:r>
          </w:p>
          <w:p w:rsidR="008B6FCD" w:rsidRDefault="008B6FCD" w:rsidP="008852CC">
            <w:pPr>
              <w:spacing w:line="560" w:lineRule="exact"/>
              <w:jc w:val="left"/>
              <w:rPr>
                <w:rFonts w:ascii="宋体" w:hAnsi="宋体" w:cs="仿宋"/>
                <w:sz w:val="18"/>
                <w:szCs w:val="18"/>
              </w:rPr>
            </w:pPr>
            <w:r>
              <w:rPr>
                <w:rFonts w:ascii="宋体" w:hAnsi="宋体" w:hint="eastAsia"/>
                <w:sz w:val="18"/>
                <w:szCs w:val="18"/>
              </w:rPr>
              <w:fldChar w:fldCharType="begin"/>
            </w:r>
            <w:r>
              <w:rPr>
                <w:rFonts w:ascii="宋体" w:hAnsi="宋体" w:hint="eastAsia"/>
                <w:sz w:val="18"/>
                <w:szCs w:val="18"/>
              </w:rPr>
              <w:instrText>= 2 \* GB3</w:instrText>
            </w:r>
            <w:r>
              <w:rPr>
                <w:rFonts w:ascii="宋体" w:hAnsi="宋体" w:hint="eastAsia"/>
                <w:sz w:val="18"/>
                <w:szCs w:val="18"/>
              </w:rPr>
              <w:fldChar w:fldCharType="separate"/>
            </w:r>
            <w:r>
              <w:rPr>
                <w:rFonts w:ascii="宋体" w:hAnsi="宋体" w:hint="eastAsia"/>
                <w:sz w:val="18"/>
                <w:szCs w:val="18"/>
              </w:rPr>
              <w:t>②</w:t>
            </w:r>
            <w:r>
              <w:rPr>
                <w:rFonts w:ascii="宋体" w:hAnsi="宋体" w:hint="eastAsia"/>
                <w:sz w:val="18"/>
                <w:szCs w:val="18"/>
              </w:rPr>
              <w:fldChar w:fldCharType="end"/>
            </w:r>
            <w:r>
              <w:rPr>
                <w:rFonts w:ascii="宋体" w:hAnsi="宋体" w:hint="eastAsia"/>
                <w:sz w:val="18"/>
                <w:szCs w:val="18"/>
              </w:rPr>
              <w:t>煤气岗位值班室必须配置隔离式呼吸保护器具和安全检测报警仪器。</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《工贸行业重大生产安全事故隐患判定标准（</w:t>
            </w:r>
            <w:r>
              <w:rPr>
                <w:rFonts w:ascii="宋体" w:hAnsi="宋体"/>
                <w:sz w:val="18"/>
                <w:szCs w:val="18"/>
              </w:rPr>
              <w:t>2017版）》冶金行业第7项</w:t>
            </w:r>
            <w:r>
              <w:rPr>
                <w:rFonts w:ascii="宋体" w:hAnsi="宋体" w:hint="eastAsia"/>
                <w:sz w:val="18"/>
                <w:szCs w:val="18"/>
              </w:rPr>
              <w:t>。</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sz w:val="18"/>
                <w:szCs w:val="18"/>
              </w:rPr>
            </w:pPr>
            <w:r>
              <w:rPr>
                <w:rFonts w:ascii="宋体" w:hAnsi="宋体" w:hint="eastAsia"/>
                <w:sz w:val="18"/>
                <w:szCs w:val="18"/>
              </w:rPr>
              <w:t>现场检查验证</w:t>
            </w:r>
          </w:p>
        </w:tc>
      </w:tr>
      <w:tr w:rsidR="008B6FCD" w:rsidTr="008852CC">
        <w:tblPrEx>
          <w:tblBorders>
            <w:insideH w:val="none" w:sz="0" w:space="0" w:color="auto"/>
            <w:insideV w:val="none" w:sz="0" w:space="0" w:color="auto"/>
          </w:tblBorders>
        </w:tblPrEx>
        <w:trPr>
          <w:trHeight w:val="1403"/>
          <w:jc w:val="center"/>
        </w:trPr>
        <w:tc>
          <w:tcPr>
            <w:tcW w:w="817" w:type="dxa"/>
            <w:vMerge/>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c>
          <w:tcPr>
            <w:tcW w:w="1073" w:type="dxa"/>
            <w:vMerge/>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煤气防护站器材配置</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hint="eastAsia"/>
                <w:sz w:val="18"/>
                <w:szCs w:val="18"/>
              </w:rPr>
              <w:t>煤气防护站应配备呼吸器、通风式防毒面具、充填装置、万能检查器、自动苏生器、隔离式自救器、担架、各种有毒气体分析仪、防爆测定仪及供危险作业和抢救用的其他设施（如对讲电话），并应配备救护车和作业车等，且应加强维护，使之经常处于</w:t>
            </w:r>
            <w:r>
              <w:rPr>
                <w:rFonts w:ascii="宋体" w:hAnsi="宋体" w:hint="eastAsia"/>
                <w:sz w:val="18"/>
                <w:szCs w:val="18"/>
              </w:rPr>
              <w:lastRenderedPageBreak/>
              <w:t>完好状态。</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sz w:val="18"/>
                <w:szCs w:val="18"/>
              </w:rPr>
            </w:pPr>
            <w:r>
              <w:rPr>
                <w:rFonts w:ascii="宋体" w:hAnsi="宋体" w:hint="eastAsia"/>
                <w:sz w:val="18"/>
                <w:szCs w:val="18"/>
              </w:rPr>
              <w:lastRenderedPageBreak/>
              <w:t>《工业煤气安全规程》（GB6222-2005）12.2.4款。</w:t>
            </w:r>
          </w:p>
          <w:p w:rsidR="008B6FCD" w:rsidRDefault="008B6FCD" w:rsidP="008852CC">
            <w:pPr>
              <w:spacing w:line="560" w:lineRule="exact"/>
              <w:jc w:val="left"/>
              <w:rPr>
                <w:rFonts w:ascii="宋体" w:hAnsi="宋体" w:cs="仿宋"/>
                <w:sz w:val="18"/>
                <w:szCs w:val="18"/>
              </w:rPr>
            </w:pP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sz w:val="18"/>
                <w:szCs w:val="18"/>
              </w:rPr>
            </w:pPr>
            <w:r>
              <w:rPr>
                <w:rFonts w:ascii="宋体" w:hAnsi="宋体" w:hint="eastAsia"/>
                <w:sz w:val="18"/>
                <w:szCs w:val="18"/>
              </w:rPr>
              <w:t>现场检查验证</w:t>
            </w:r>
          </w:p>
        </w:tc>
      </w:tr>
      <w:tr w:rsidR="008B6FCD" w:rsidTr="008852CC">
        <w:tblPrEx>
          <w:tblBorders>
            <w:insideH w:val="none" w:sz="0" w:space="0" w:color="auto"/>
            <w:insideV w:val="none" w:sz="0" w:space="0" w:color="auto"/>
          </w:tblBorders>
        </w:tblPrEx>
        <w:trPr>
          <w:trHeight w:val="598"/>
          <w:jc w:val="center"/>
        </w:trPr>
        <w:tc>
          <w:tcPr>
            <w:tcW w:w="817"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lastRenderedPageBreak/>
              <w:t>12</w:t>
            </w:r>
          </w:p>
        </w:tc>
        <w:tc>
          <w:tcPr>
            <w:tcW w:w="1073" w:type="dxa"/>
            <w:vMerge w:val="restart"/>
            <w:tcBorders>
              <w:top w:val="single" w:sz="4" w:space="0" w:color="auto"/>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炼铁单元</w:t>
            </w:r>
          </w:p>
        </w:tc>
        <w:tc>
          <w:tcPr>
            <w:tcW w:w="99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更衣、休息、浴室</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不应设在风口平台和出铁场的下部，且应避开铁口、渣口。</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《炼铁安全规程》5.4</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565"/>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操作、值班室</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不应设在热风炉燃烧器、除尘器清灰口等可能泄漏煤气的危险区；不应在氧气、煤气管道上方设置值班室。</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《炼铁安全规程》5.5</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90"/>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高炉本体</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炉基周围应保持清洁干燥，不应积水和堆积废料。</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《炼铁安全规程》9.1.3</w:t>
            </w:r>
          </w:p>
        </w:tc>
        <w:tc>
          <w:tcPr>
            <w:tcW w:w="1863" w:type="dxa"/>
            <w:tcBorders>
              <w:top w:val="single" w:sz="4" w:space="0" w:color="auto"/>
              <w:left w:val="single" w:sz="4" w:space="0" w:color="auto"/>
              <w:bottom w:val="single" w:sz="4" w:space="0" w:color="auto"/>
              <w:right w:val="single" w:sz="4" w:space="0" w:color="auto"/>
            </w:tcBorders>
          </w:tcPr>
          <w:p w:rsidR="008B6FCD" w:rsidRDefault="008B6FCD" w:rsidP="008852CC">
            <w:pPr>
              <w:spacing w:line="560" w:lineRule="exact"/>
              <w:rPr>
                <w:rFonts w:ascii="宋体" w:hAnsi="宋体"/>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669"/>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 xml:space="preserve">炉基周围设置疏导防护装置，防止铁、渣与炉基周围高压水管接触。 </w:t>
            </w:r>
          </w:p>
        </w:tc>
        <w:tc>
          <w:tcPr>
            <w:tcW w:w="2704"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《关于印发山东省高炉液态渣铁安全生产重点防范措施的通知》第二条</w:t>
            </w:r>
          </w:p>
        </w:tc>
        <w:tc>
          <w:tcPr>
            <w:tcW w:w="1863" w:type="dxa"/>
            <w:tcBorders>
              <w:top w:val="single" w:sz="4" w:space="0" w:color="auto"/>
              <w:left w:val="single" w:sz="4" w:space="0" w:color="auto"/>
              <w:right w:val="single" w:sz="4" w:space="0" w:color="auto"/>
            </w:tcBorders>
          </w:tcPr>
          <w:p w:rsidR="008B6FCD" w:rsidRDefault="008B6FCD" w:rsidP="008852CC">
            <w:pPr>
              <w:spacing w:line="560" w:lineRule="exact"/>
              <w:rPr>
                <w:rFonts w:ascii="宋体" w:hAnsi="宋体"/>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612"/>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炉体冷却系统应制定因冷却水压降低，高炉减风或休风后的具体操作规程。</w:t>
            </w:r>
          </w:p>
        </w:tc>
        <w:tc>
          <w:tcPr>
            <w:tcW w:w="2704"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《炼铁安全规程》9.1.8</w:t>
            </w:r>
          </w:p>
        </w:tc>
        <w:tc>
          <w:tcPr>
            <w:tcW w:w="1863"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r>
              <w:rPr>
                <w:rFonts w:ascii="宋体" w:hAnsi="宋体" w:cs="仿宋" w:hint="eastAsia"/>
                <w:kern w:val="0"/>
                <w:sz w:val="18"/>
                <w:szCs w:val="18"/>
              </w:rPr>
              <w:t>查看规程及应急预案，询问作业人员</w:t>
            </w:r>
          </w:p>
        </w:tc>
      </w:tr>
      <w:tr w:rsidR="008B6FCD" w:rsidTr="008852CC">
        <w:tblPrEx>
          <w:tblBorders>
            <w:insideH w:val="none" w:sz="0" w:space="0" w:color="auto"/>
            <w:insideV w:val="none" w:sz="0" w:space="0" w:color="auto"/>
          </w:tblBorders>
        </w:tblPrEx>
        <w:trPr>
          <w:trHeight w:val="564"/>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tcBorders>
              <w:left w:val="single" w:sz="4" w:space="0" w:color="auto"/>
              <w:bottom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热电偶应对整个炉底进行自动、连续测温，其结果应正确显示于中控室（值班室）。</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《炼铁安全规程》9.1.9</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r>
              <w:rPr>
                <w:rFonts w:ascii="宋体" w:hAnsi="宋体" w:cs="仿宋" w:hint="eastAsia"/>
                <w:kern w:val="0"/>
                <w:sz w:val="18"/>
                <w:szCs w:val="18"/>
              </w:rPr>
              <w:t>查看中控室测温数据</w:t>
            </w:r>
          </w:p>
        </w:tc>
      </w:tr>
      <w:tr w:rsidR="008B6FCD" w:rsidTr="008852CC">
        <w:tblPrEx>
          <w:tblBorders>
            <w:insideH w:val="none" w:sz="0" w:space="0" w:color="auto"/>
            <w:insideV w:val="none" w:sz="0" w:space="0" w:color="auto"/>
          </w:tblBorders>
        </w:tblPrEx>
        <w:trPr>
          <w:trHeight w:val="68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炉前出铁场</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渣、铁沟应有供横跨用的活动小桥或盖板。撇渣器上应设防护罩。渣口正前方应设挡渣墙。禁止跨越主沟，人员不应跨越渣、铁沟，必要时应从横跨小桥或盖板上通过。</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仿宋"/>
                <w:kern w:val="0"/>
                <w:sz w:val="18"/>
                <w:szCs w:val="18"/>
              </w:rPr>
            </w:pPr>
            <w:r>
              <w:rPr>
                <w:rFonts w:ascii="宋体" w:hAnsi="宋体" w:cs="仿宋" w:hint="eastAsia"/>
                <w:kern w:val="0"/>
                <w:sz w:val="18"/>
                <w:szCs w:val="18"/>
              </w:rPr>
              <w:t>《炼铁安全规程》10.3</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69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加强对铁沟、渣沟的温度检测与维护，定期修补渣铁沟，防止渗漏铁、渣。必要时，放大闸检查主沟。</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仿宋"/>
                <w:kern w:val="0"/>
                <w:sz w:val="18"/>
                <w:szCs w:val="18"/>
              </w:rPr>
            </w:pPr>
            <w:r>
              <w:rPr>
                <w:rFonts w:ascii="宋体" w:hAnsi="宋体" w:cs="仿宋" w:hint="eastAsia"/>
                <w:kern w:val="0"/>
                <w:sz w:val="18"/>
                <w:szCs w:val="18"/>
              </w:rPr>
              <w:t>《关于印发山东省高炉液态渣铁安全生产重点防范措施的通知》第二条</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查看记录及防范措施，现场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61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泥炮和开口机室</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应能清楚地观察到泥炮的工作情况和铁口的状况，并应保证发生事故时操作人员能安全撤离。</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仿宋"/>
                <w:kern w:val="0"/>
                <w:sz w:val="18"/>
                <w:szCs w:val="18"/>
              </w:rPr>
            </w:pPr>
            <w:r>
              <w:rPr>
                <w:rFonts w:ascii="宋体" w:hAnsi="宋体" w:cs="仿宋" w:hint="eastAsia"/>
                <w:kern w:val="0"/>
                <w:sz w:val="18"/>
                <w:szCs w:val="18"/>
              </w:rPr>
              <w:t>《炼铁安全规程》10.7</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391"/>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铸铁机</w:t>
            </w: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铸铁机操作室，应能清楚地观察到翻罐、铁水溜槽及前半部铸模的工作情况。</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kern w:val="0"/>
                <w:sz w:val="18"/>
                <w:szCs w:val="18"/>
              </w:rPr>
            </w:pPr>
            <w:r>
              <w:rPr>
                <w:rFonts w:ascii="宋体" w:hAnsi="宋体" w:cs="仿宋" w:hint="eastAsia"/>
                <w:kern w:val="0"/>
                <w:sz w:val="18"/>
                <w:szCs w:val="18"/>
              </w:rPr>
              <w:t>《炼铁安全规程》15.4</w:t>
            </w:r>
          </w:p>
        </w:tc>
        <w:tc>
          <w:tcPr>
            <w:tcW w:w="186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457"/>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铸铁机工作台的上下走梯，应设在工作台两侧，不应横跨链带。</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kern w:val="0"/>
                <w:sz w:val="18"/>
                <w:szCs w:val="18"/>
              </w:rPr>
            </w:pPr>
            <w:r>
              <w:rPr>
                <w:rFonts w:ascii="宋体" w:hAnsi="宋体" w:cs="仿宋" w:hint="eastAsia"/>
                <w:kern w:val="0"/>
                <w:sz w:val="18"/>
                <w:szCs w:val="18"/>
              </w:rPr>
              <w:t>《炼铁安全规程》15.5</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279"/>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p>
        </w:tc>
        <w:tc>
          <w:tcPr>
            <w:tcW w:w="993" w:type="dxa"/>
            <w:vMerge/>
            <w:tcBorders>
              <w:left w:val="single" w:sz="4" w:space="0" w:color="auto"/>
              <w:bottom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铸铁机地坑内不应有积水。</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kern w:val="0"/>
                <w:sz w:val="18"/>
                <w:szCs w:val="18"/>
              </w:rPr>
            </w:pPr>
            <w:r>
              <w:rPr>
                <w:rFonts w:ascii="宋体" w:hAnsi="宋体" w:cs="仿宋" w:hint="eastAsia"/>
                <w:kern w:val="0"/>
                <w:sz w:val="18"/>
                <w:szCs w:val="18"/>
              </w:rPr>
              <w:t>《炼铁安全规程》15.6</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397"/>
          <w:jc w:val="center"/>
        </w:trPr>
        <w:tc>
          <w:tcPr>
            <w:tcW w:w="817" w:type="dxa"/>
            <w:vMerge/>
            <w:tcBorders>
              <w:left w:val="single" w:sz="4" w:space="0" w:color="auto"/>
              <w:bottom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1073"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tcBorders>
              <w:left w:val="single" w:sz="4" w:space="0" w:color="auto"/>
              <w:bottom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供电系统</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应有两个以上的独立电源供电。</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kern w:val="0"/>
                <w:sz w:val="18"/>
                <w:szCs w:val="18"/>
              </w:rPr>
            </w:pPr>
            <w:r>
              <w:rPr>
                <w:rFonts w:ascii="宋体" w:hAnsi="宋体" w:cs="仿宋" w:hint="eastAsia"/>
                <w:kern w:val="0"/>
                <w:sz w:val="18"/>
                <w:szCs w:val="18"/>
              </w:rPr>
              <w:t>《炼铁安全规程》18.1</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查看安全评价报告</w:t>
            </w:r>
          </w:p>
        </w:tc>
      </w:tr>
      <w:tr w:rsidR="008B6FCD" w:rsidTr="008852CC">
        <w:tblPrEx>
          <w:tblBorders>
            <w:insideH w:val="none" w:sz="0" w:space="0" w:color="auto"/>
            <w:insideV w:val="none" w:sz="0" w:space="0" w:color="auto"/>
          </w:tblBorders>
        </w:tblPrEx>
        <w:trPr>
          <w:trHeight w:val="598"/>
          <w:jc w:val="center"/>
        </w:trPr>
        <w:tc>
          <w:tcPr>
            <w:tcW w:w="817"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kern w:val="0"/>
                <w:sz w:val="18"/>
                <w:szCs w:val="18"/>
              </w:rPr>
              <w:t>13</w:t>
            </w:r>
          </w:p>
        </w:tc>
        <w:tc>
          <w:tcPr>
            <w:tcW w:w="1073"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炼钢单元</w:t>
            </w:r>
          </w:p>
        </w:tc>
        <w:tc>
          <w:tcPr>
            <w:tcW w:w="99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厂、车间</w:t>
            </w: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铁水、钢水与液体渣，应设专线（或专用通道）运输。</w:t>
            </w:r>
          </w:p>
        </w:tc>
        <w:tc>
          <w:tcPr>
            <w:tcW w:w="2704"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《炼钢安全规程》5.2.2、7.3.1</w:t>
            </w:r>
          </w:p>
        </w:tc>
        <w:tc>
          <w:tcPr>
            <w:tcW w:w="186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查看评价报告，现场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850"/>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建、构筑物</w:t>
            </w: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主控室、电气间、可燃介质液压站、连铸切割介质的气站、一次除尘风机房、电缆夹层等等易发生火灾的建、构筑物，应设自动火灾报警装置。淡蓝隧道长度超过7m的，应设置通风设施。</w:t>
            </w:r>
          </w:p>
        </w:tc>
        <w:tc>
          <w:tcPr>
            <w:tcW w:w="2704"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《炼钢安全规程》6.2.4</w:t>
            </w:r>
          </w:p>
        </w:tc>
        <w:tc>
          <w:tcPr>
            <w:tcW w:w="186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查看安全评价报告，现场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649"/>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①转炉、电炉、精炼炉的炉下区域，应采取防止积水的措施。②炉下钢水罐车、渣罐车运行区域，地面应干燥。③炉下热泼渣区周围应设防护结构。</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《炼钢安全规程》6.2.7</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490"/>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①转炉和电炉主控室布置，应注意在出现大喷事故时确保安全，并设置必要的防护设施。②连铸主控室不应正对中间罐。</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《炼钢安全规程》6.2.9</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651"/>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铁水贮运和预处理</w:t>
            </w:r>
          </w:p>
        </w:tc>
        <w:tc>
          <w:tcPr>
            <w:tcW w:w="6945"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①混铁炉在维修或炉顶有人、或受铁水罐车未停到位时，不应倾动。②混铁炉与倒罐站作业区地坪及受铁坑内，不应有水。</w:t>
            </w:r>
          </w:p>
        </w:tc>
        <w:tc>
          <w:tcPr>
            <w:tcW w:w="2704" w:type="dxa"/>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r>
              <w:rPr>
                <w:rFonts w:ascii="宋体" w:hAnsi="宋体" w:cs="仿宋" w:hint="eastAsia"/>
                <w:kern w:val="0"/>
                <w:sz w:val="18"/>
                <w:szCs w:val="18"/>
              </w:rPr>
              <w:t>《炼钢安全规程》7.3.2、7.3.4</w:t>
            </w:r>
          </w:p>
        </w:tc>
        <w:tc>
          <w:tcPr>
            <w:tcW w:w="186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271"/>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转炉</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spacing w:line="560" w:lineRule="exact"/>
              <w:rPr>
                <w:rFonts w:ascii="宋体" w:hAnsi="宋体" w:cs="仿宋"/>
                <w:kern w:val="0"/>
                <w:sz w:val="18"/>
                <w:szCs w:val="18"/>
              </w:rPr>
            </w:pPr>
            <w:r>
              <w:rPr>
                <w:rFonts w:ascii="宋体" w:hAnsi="宋体" w:cs="仿宋" w:hint="eastAsia"/>
                <w:kern w:val="0"/>
                <w:sz w:val="18"/>
                <w:szCs w:val="18"/>
              </w:rPr>
              <w:t>转炉的公称容积为其炉役期的平均出钢量，最大出钢量为公称容量的1.05-1.1倍，转炉宜采用分阶段定量法操作。</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left"/>
              <w:rPr>
                <w:rFonts w:ascii="宋体" w:hAnsi="宋体" w:cs="仿宋"/>
                <w:kern w:val="0"/>
                <w:sz w:val="18"/>
                <w:szCs w:val="18"/>
              </w:rPr>
            </w:pPr>
            <w:r>
              <w:rPr>
                <w:rFonts w:ascii="宋体" w:hAnsi="宋体" w:cs="仿宋" w:hint="eastAsia"/>
                <w:kern w:val="0"/>
                <w:sz w:val="18"/>
                <w:szCs w:val="18"/>
              </w:rPr>
              <w:t>《炼钢安全规程》9.1.2</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查看记录现场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135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c>
          <w:tcPr>
            <w:tcW w:w="6945"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①转炉氧枪与副枪升降装置，应配备钢绳张力测定、钢绳断裂防坠、事故驱动等安全装置。②各枪位停靠点，应与转炉倾动、氧气开闭、冷却水流量和温度等联锁。③当</w:t>
            </w:r>
            <w:r>
              <w:rPr>
                <w:rFonts w:ascii="宋体" w:hAnsi="宋体" w:cs="仿宋" w:hint="eastAsia"/>
                <w:kern w:val="0"/>
                <w:sz w:val="18"/>
                <w:szCs w:val="18"/>
              </w:rPr>
              <w:lastRenderedPageBreak/>
              <w:t>氧气压力小于规定值、冷却水流量低于规定值、出水温度超规定值、进出水流量差大于规定值时，氧枪应自动升起，停止吹氧。</w:t>
            </w:r>
            <w:r>
              <w:rPr>
                <w:rFonts w:ascii="宋体" w:hAnsi="宋体" w:cs="仿宋" w:hint="eastAsia"/>
                <w:sz w:val="18"/>
                <w:szCs w:val="18"/>
              </w:rPr>
              <w:t>④</w:t>
            </w:r>
            <w:r>
              <w:rPr>
                <w:rFonts w:ascii="宋体" w:hAnsi="宋体" w:cs="仿宋" w:hint="eastAsia"/>
                <w:kern w:val="0"/>
                <w:sz w:val="18"/>
                <w:szCs w:val="18"/>
              </w:rPr>
              <w:t>从转炉工作平台至上层平台之间，设置转炉围护结构。炉前后应设活动挡火门，保护人员安全。</w:t>
            </w:r>
          </w:p>
        </w:tc>
        <w:tc>
          <w:tcPr>
            <w:tcW w:w="2704"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left"/>
              <w:rPr>
                <w:rFonts w:ascii="宋体" w:hAnsi="宋体" w:cs="仿宋"/>
                <w:kern w:val="0"/>
                <w:sz w:val="18"/>
                <w:szCs w:val="18"/>
              </w:rPr>
            </w:pPr>
            <w:r>
              <w:rPr>
                <w:rFonts w:ascii="宋体" w:hAnsi="宋体" w:cs="仿宋" w:hint="eastAsia"/>
                <w:kern w:val="0"/>
                <w:sz w:val="18"/>
                <w:szCs w:val="18"/>
              </w:rPr>
              <w:lastRenderedPageBreak/>
              <w:t>《炼钢安全规程》9.1.4、9.1.8</w:t>
            </w:r>
          </w:p>
        </w:tc>
        <w:tc>
          <w:tcPr>
            <w:tcW w:w="186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left"/>
              <w:rPr>
                <w:rFonts w:ascii="宋体" w:hAnsi="宋体" w:cs="仿宋"/>
                <w:kern w:val="0"/>
                <w:sz w:val="18"/>
                <w:szCs w:val="18"/>
              </w:rPr>
            </w:pPr>
            <w:r>
              <w:rPr>
                <w:rFonts w:ascii="宋体" w:hAnsi="宋体" w:cs="仿宋" w:hint="eastAsia"/>
                <w:kern w:val="0"/>
                <w:sz w:val="18"/>
                <w:szCs w:val="18"/>
              </w:rPr>
              <w:t>查看安全评价报告，检查记录，现场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1307"/>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c>
          <w:tcPr>
            <w:tcW w:w="993" w:type="dxa"/>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sz w:val="18"/>
                <w:szCs w:val="18"/>
              </w:rPr>
              <w:t>电炉</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sz w:val="18"/>
                <w:szCs w:val="18"/>
              </w:rPr>
              <w:t>①炉倾动机械应设零位锁定；②电炉炉盖升降与旋转、电极升降与旋转、炉子倾动等动作的机械之间，应设可靠的安全联锁；</w:t>
            </w:r>
            <w:r>
              <w:rPr>
                <w:rFonts w:ascii="宋体" w:hAnsi="宋体" w:cs="仿宋" w:hint="eastAsia"/>
                <w:kern w:val="0"/>
                <w:sz w:val="18"/>
                <w:szCs w:val="18"/>
              </w:rPr>
              <w:t>③水冷炉壁与炉盖的水冷板、炉连接小车水套、竖井水冷件等，应配置出水温度与进出水流量差检测、报警装置。出水温度超过规定值、进出水流量差报警时，应自动断电并升起电极停止冶炼。</w:t>
            </w:r>
            <w:r>
              <w:rPr>
                <w:rFonts w:ascii="宋体" w:hAnsi="宋体" w:cs="仿宋" w:hint="eastAsia"/>
                <w:sz w:val="18"/>
                <w:szCs w:val="18"/>
              </w:rPr>
              <w:t>④</w:t>
            </w:r>
            <w:r>
              <w:rPr>
                <w:rFonts w:ascii="宋体" w:hAnsi="宋体" w:cs="仿宋" w:hint="eastAsia"/>
                <w:kern w:val="0"/>
                <w:sz w:val="18"/>
                <w:szCs w:val="18"/>
              </w:rPr>
              <w:t>电炉炉后出钢操作室，不应正对出钢方向开门，其窗户应采取防喷溅措施。</w:t>
            </w:r>
          </w:p>
        </w:tc>
        <w:tc>
          <w:tcPr>
            <w:tcW w:w="2704" w:type="dxa"/>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kern w:val="0"/>
                <w:sz w:val="18"/>
                <w:szCs w:val="18"/>
              </w:rPr>
            </w:pPr>
            <w:r>
              <w:rPr>
                <w:rFonts w:ascii="宋体" w:hAnsi="宋体" w:cs="仿宋" w:hint="eastAsia"/>
                <w:kern w:val="0"/>
                <w:sz w:val="18"/>
                <w:szCs w:val="18"/>
              </w:rPr>
              <w:t>《炼钢安全规程》10.1.3、10.1.8、10.1.14</w:t>
            </w:r>
          </w:p>
        </w:tc>
        <w:tc>
          <w:tcPr>
            <w:tcW w:w="1863" w:type="dxa"/>
            <w:tcBorders>
              <w:top w:val="single" w:sz="4" w:space="0" w:color="auto"/>
              <w:left w:val="single" w:sz="4" w:space="0" w:color="auto"/>
              <w:bottom w:val="nil"/>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查看安全评价报告，检查记录，现场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340"/>
          <w:jc w:val="center"/>
        </w:trPr>
        <w:tc>
          <w:tcPr>
            <w:tcW w:w="817"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jc w:val="center"/>
              <w:rPr>
                <w:rFonts w:ascii="宋体" w:hAnsi="宋体" w:cs="仿宋"/>
                <w:kern w:val="0"/>
                <w:sz w:val="18"/>
                <w:szCs w:val="18"/>
              </w:rPr>
            </w:pPr>
            <w:r>
              <w:rPr>
                <w:rFonts w:ascii="宋体" w:hAnsi="宋体" w:cs="仿宋" w:hint="eastAsia"/>
                <w:kern w:val="0"/>
                <w:sz w:val="18"/>
                <w:szCs w:val="18"/>
              </w:rPr>
              <w:t>连铸</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连铸主平台以下各层不应设置油罐、气瓶等易燃易爆品仓库或存放点，连铸平台上漏钢事故波及的区域，不应有水与潮湿物品。</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jc w:val="left"/>
              <w:rPr>
                <w:rFonts w:ascii="宋体" w:hAnsi="宋体" w:cs="仿宋"/>
                <w:kern w:val="0"/>
                <w:sz w:val="18"/>
                <w:szCs w:val="18"/>
              </w:rPr>
            </w:pPr>
            <w:r>
              <w:rPr>
                <w:rFonts w:ascii="宋体" w:hAnsi="宋体" w:cs="仿宋" w:hint="eastAsia"/>
                <w:kern w:val="0"/>
                <w:sz w:val="18"/>
                <w:szCs w:val="18"/>
              </w:rPr>
              <w:t>《炼钢安全规程》12.3.9</w:t>
            </w: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r>
              <w:rPr>
                <w:rFonts w:ascii="宋体" w:hAnsi="宋体" w:cs="仿宋" w:hint="eastAsia"/>
                <w:kern w:val="0"/>
                <w:sz w:val="18"/>
                <w:szCs w:val="18"/>
              </w:rPr>
              <w:t>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457"/>
          <w:jc w:val="center"/>
        </w:trPr>
        <w:tc>
          <w:tcPr>
            <w:tcW w:w="817"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kern w:val="0"/>
                <w:sz w:val="18"/>
                <w:szCs w:val="18"/>
              </w:rPr>
              <w:t>14</w:t>
            </w:r>
          </w:p>
        </w:tc>
        <w:tc>
          <w:tcPr>
            <w:tcW w:w="1073"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bCs/>
                <w:kern w:val="0"/>
                <w:sz w:val="18"/>
                <w:szCs w:val="18"/>
              </w:rPr>
            </w:pPr>
            <w:r>
              <w:rPr>
                <w:rFonts w:ascii="宋体" w:hAnsi="宋体" w:cs="仿宋" w:hint="eastAsia"/>
                <w:bCs/>
                <w:kern w:val="0"/>
                <w:sz w:val="18"/>
                <w:szCs w:val="18"/>
              </w:rPr>
              <w:t>铜冶炼</w:t>
            </w:r>
          </w:p>
          <w:p w:rsidR="008B6FCD" w:rsidRDefault="008B6FCD" w:rsidP="008852CC">
            <w:pPr>
              <w:widowControl/>
              <w:spacing w:line="560" w:lineRule="exact"/>
              <w:jc w:val="center"/>
              <w:rPr>
                <w:rFonts w:ascii="宋体" w:hAnsi="宋体" w:cs="仿宋"/>
                <w:bCs/>
                <w:kern w:val="0"/>
                <w:sz w:val="18"/>
                <w:szCs w:val="18"/>
              </w:rPr>
            </w:pPr>
            <w:r>
              <w:rPr>
                <w:rFonts w:ascii="宋体" w:hAnsi="宋体" w:cs="仿宋" w:hint="eastAsia"/>
                <w:bCs/>
                <w:kern w:val="0"/>
                <w:sz w:val="18"/>
                <w:szCs w:val="18"/>
              </w:rPr>
              <w:t>单元</w:t>
            </w: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spacing w:line="560" w:lineRule="exact"/>
              <w:rPr>
                <w:rFonts w:ascii="宋体" w:hAnsi="宋体" w:cs="仿宋"/>
                <w:bCs/>
                <w:kern w:val="0"/>
                <w:sz w:val="18"/>
                <w:szCs w:val="18"/>
              </w:rPr>
            </w:pPr>
            <w:r>
              <w:rPr>
                <w:rFonts w:ascii="宋体" w:hAnsi="宋体" w:cs="仿宋" w:hint="eastAsia"/>
                <w:kern w:val="0"/>
                <w:sz w:val="18"/>
                <w:szCs w:val="18"/>
              </w:rPr>
              <w:t>冶炼作业</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bCs/>
                <w:kern w:val="0"/>
                <w:sz w:val="18"/>
                <w:szCs w:val="18"/>
              </w:rPr>
            </w:pPr>
            <w:r>
              <w:rPr>
                <w:rFonts w:ascii="宋体" w:hAnsi="宋体" w:cs="仿宋" w:hint="eastAsia"/>
                <w:bCs/>
                <w:kern w:val="0"/>
                <w:sz w:val="18"/>
                <w:szCs w:val="18"/>
              </w:rPr>
              <w:t>安全坑内及熔体泄漏安全控制所需范围之内的地面，不得有积水。</w:t>
            </w:r>
          </w:p>
        </w:tc>
        <w:tc>
          <w:tcPr>
            <w:tcW w:w="2704"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left"/>
              <w:rPr>
                <w:rFonts w:ascii="宋体" w:hAnsi="宋体" w:cs="仿宋"/>
                <w:bCs/>
                <w:kern w:val="0"/>
                <w:sz w:val="18"/>
                <w:szCs w:val="18"/>
              </w:rPr>
            </w:pPr>
            <w:r>
              <w:rPr>
                <w:rFonts w:ascii="宋体" w:hAnsi="宋体" w:cs="仿宋" w:hint="eastAsia"/>
                <w:bCs/>
                <w:kern w:val="0"/>
                <w:sz w:val="18"/>
                <w:szCs w:val="18"/>
              </w:rPr>
              <w:t>《铜冶炼安全生产规范》5.3.2.2；6.1.3.1；5.3.2.3</w:t>
            </w:r>
          </w:p>
          <w:p w:rsidR="008B6FCD" w:rsidRDefault="008B6FCD" w:rsidP="008852CC">
            <w:pPr>
              <w:widowControl/>
              <w:spacing w:line="560" w:lineRule="exact"/>
              <w:jc w:val="left"/>
              <w:rPr>
                <w:rFonts w:ascii="宋体" w:hAnsi="宋体" w:cs="仿宋"/>
                <w:bCs/>
                <w:kern w:val="0"/>
                <w:sz w:val="18"/>
                <w:szCs w:val="18"/>
              </w:rPr>
            </w:pPr>
            <w:r>
              <w:rPr>
                <w:rFonts w:ascii="宋体" w:hAnsi="宋体" w:cs="仿宋" w:hint="eastAsia"/>
                <w:bCs/>
                <w:kern w:val="0"/>
                <w:sz w:val="18"/>
                <w:szCs w:val="18"/>
              </w:rPr>
              <w:t>；5.3.2.5；6.1.3.2</w:t>
            </w:r>
          </w:p>
        </w:tc>
        <w:tc>
          <w:tcPr>
            <w:tcW w:w="1863"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查看检查记录，现场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421"/>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bCs/>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bCs/>
                <w:kern w:val="0"/>
                <w:sz w:val="18"/>
                <w:szCs w:val="18"/>
              </w:rPr>
            </w:pPr>
            <w:r>
              <w:rPr>
                <w:rFonts w:ascii="宋体" w:hAnsi="宋体" w:cs="仿宋" w:hint="eastAsia"/>
                <w:bCs/>
                <w:kern w:val="0"/>
                <w:sz w:val="18"/>
                <w:szCs w:val="18"/>
              </w:rPr>
              <w:t>炉窑周围，熔体容易喷溅到的区域严禁放易燃易爆物品。</w:t>
            </w:r>
          </w:p>
        </w:tc>
        <w:tc>
          <w:tcPr>
            <w:tcW w:w="2704"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bCs/>
                <w:kern w:val="0"/>
                <w:sz w:val="18"/>
                <w:szCs w:val="18"/>
              </w:rPr>
            </w:pPr>
          </w:p>
        </w:tc>
        <w:tc>
          <w:tcPr>
            <w:tcW w:w="186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r>
      <w:tr w:rsidR="008B6FCD" w:rsidTr="008852CC">
        <w:tblPrEx>
          <w:tblBorders>
            <w:insideH w:val="none" w:sz="0" w:space="0" w:color="auto"/>
            <w:insideV w:val="none" w:sz="0" w:space="0" w:color="auto"/>
          </w:tblBorders>
        </w:tblPrEx>
        <w:trPr>
          <w:trHeight w:val="697"/>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spacing w:line="560" w:lineRule="exact"/>
              <w:ind w:firstLine="360"/>
              <w:jc w:val="center"/>
              <w:rPr>
                <w:rFonts w:ascii="宋体" w:hAnsi="宋体" w:cs="仿宋"/>
                <w:bCs/>
                <w:kern w:val="0"/>
                <w:sz w:val="18"/>
                <w:szCs w:val="18"/>
              </w:rPr>
            </w:pPr>
          </w:p>
        </w:tc>
        <w:tc>
          <w:tcPr>
            <w:tcW w:w="993" w:type="dxa"/>
            <w:vMerge/>
            <w:tcBorders>
              <w:left w:val="single" w:sz="4" w:space="0" w:color="auto"/>
              <w:bottom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bCs/>
                <w:kern w:val="0"/>
                <w:sz w:val="18"/>
                <w:szCs w:val="18"/>
              </w:rPr>
            </w:pPr>
            <w:r>
              <w:rPr>
                <w:rFonts w:ascii="宋体" w:hAnsi="宋体" w:cs="仿宋" w:hint="eastAsia"/>
                <w:bCs/>
                <w:kern w:val="0"/>
                <w:sz w:val="18"/>
                <w:szCs w:val="18"/>
              </w:rPr>
              <w:t>应定期检查压缩空气“气动三联件”，确保风量、压力、气水分离器处于完好状态，</w:t>
            </w:r>
            <w:r>
              <w:rPr>
                <w:rFonts w:ascii="宋体" w:hAnsi="宋体" w:cs="仿宋" w:hint="eastAsia"/>
                <w:bCs/>
                <w:kern w:val="0"/>
                <w:sz w:val="18"/>
                <w:szCs w:val="18"/>
              </w:rPr>
              <w:lastRenderedPageBreak/>
              <w:t>防止压缩空气含水过高而造成炉内进水，引发喷炉、爆炸事故。</w:t>
            </w:r>
          </w:p>
        </w:tc>
        <w:tc>
          <w:tcPr>
            <w:tcW w:w="2704"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bCs/>
                <w:kern w:val="0"/>
                <w:sz w:val="18"/>
                <w:szCs w:val="18"/>
              </w:rPr>
            </w:pPr>
          </w:p>
        </w:tc>
        <w:tc>
          <w:tcPr>
            <w:tcW w:w="1863"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r>
      <w:tr w:rsidR="008B6FCD" w:rsidTr="008852CC">
        <w:tblPrEx>
          <w:tblBorders>
            <w:insideH w:val="none" w:sz="0" w:space="0" w:color="auto"/>
            <w:insideV w:val="none" w:sz="0" w:space="0" w:color="auto"/>
          </w:tblBorders>
        </w:tblPrEx>
        <w:trPr>
          <w:trHeight w:val="408"/>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bCs/>
                <w:kern w:val="0"/>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熔体排放</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bCs/>
                <w:kern w:val="0"/>
                <w:sz w:val="18"/>
                <w:szCs w:val="18"/>
              </w:rPr>
            </w:pPr>
            <w:r>
              <w:rPr>
                <w:rFonts w:ascii="宋体" w:hAnsi="宋体" w:cs="仿宋" w:hint="eastAsia"/>
                <w:bCs/>
                <w:kern w:val="0"/>
                <w:sz w:val="18"/>
                <w:szCs w:val="18"/>
              </w:rPr>
              <w:t>熔体排放设施两侧的高度应达到安全要求，防止熔体溢出。</w:t>
            </w:r>
          </w:p>
        </w:tc>
        <w:tc>
          <w:tcPr>
            <w:tcW w:w="2704"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bCs/>
                <w:kern w:val="0"/>
                <w:sz w:val="18"/>
                <w:szCs w:val="18"/>
              </w:rPr>
            </w:pP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r>
              <w:rPr>
                <w:rFonts w:ascii="宋体" w:hAnsi="宋体" w:cs="仿宋" w:hint="eastAsia"/>
                <w:kern w:val="0"/>
                <w:sz w:val="18"/>
                <w:szCs w:val="18"/>
              </w:rPr>
              <w:t>查看安全评价报告，检查记录，现场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374"/>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bCs/>
                <w:kern w:val="0"/>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浇铸</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溜槽、中间包、浇铸包和铜模应干燥无水分。</w:t>
            </w:r>
          </w:p>
        </w:tc>
        <w:tc>
          <w:tcPr>
            <w:tcW w:w="2704" w:type="dxa"/>
            <w:vMerge/>
            <w:tcBorders>
              <w:left w:val="single" w:sz="4" w:space="0" w:color="auto"/>
              <w:right w:val="single" w:sz="4" w:space="0" w:color="auto"/>
            </w:tcBorders>
            <w:vAlign w:val="center"/>
          </w:tcPr>
          <w:p w:rsidR="008B6FCD" w:rsidRDefault="008B6FCD" w:rsidP="008852CC">
            <w:pPr>
              <w:spacing w:line="560" w:lineRule="exact"/>
              <w:ind w:firstLine="360"/>
              <w:rPr>
                <w:rFonts w:ascii="宋体" w:hAnsi="宋体" w:cs="仿宋"/>
                <w:bCs/>
                <w:kern w:val="0"/>
                <w:sz w:val="18"/>
                <w:szCs w:val="18"/>
              </w:rPr>
            </w:pPr>
          </w:p>
        </w:tc>
        <w:tc>
          <w:tcPr>
            <w:tcW w:w="1863"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left"/>
              <w:rPr>
                <w:rFonts w:ascii="宋体" w:hAnsi="宋体" w:cs="仿宋"/>
                <w:kern w:val="0"/>
                <w:sz w:val="18"/>
                <w:szCs w:val="18"/>
              </w:rPr>
            </w:pPr>
            <w:r>
              <w:rPr>
                <w:rFonts w:ascii="宋体" w:hAnsi="宋体" w:cs="仿宋" w:hint="eastAsia"/>
                <w:kern w:val="0"/>
                <w:sz w:val="18"/>
                <w:szCs w:val="18"/>
              </w:rPr>
              <w:t>查看规程，检查记录，现场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550"/>
          <w:jc w:val="center"/>
        </w:trPr>
        <w:tc>
          <w:tcPr>
            <w:tcW w:w="817"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bCs/>
                <w:kern w:val="0"/>
                <w:sz w:val="18"/>
                <w:szCs w:val="18"/>
              </w:rPr>
            </w:pPr>
          </w:p>
        </w:tc>
        <w:tc>
          <w:tcPr>
            <w:tcW w:w="993" w:type="dxa"/>
            <w:tcBorders>
              <w:top w:val="single" w:sz="4" w:space="0" w:color="auto"/>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 xml:space="preserve">吊运作业 </w:t>
            </w:r>
          </w:p>
        </w:tc>
        <w:tc>
          <w:tcPr>
            <w:tcW w:w="6945" w:type="dxa"/>
            <w:tcBorders>
              <w:top w:val="single" w:sz="4" w:space="0" w:color="auto"/>
              <w:left w:val="single" w:sz="4" w:space="0" w:color="auto"/>
              <w:bottom w:val="single" w:sz="4" w:space="0" w:color="auto"/>
              <w:right w:val="single" w:sz="4" w:space="0" w:color="auto"/>
            </w:tcBorders>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高温熔体铜包在吊运过程中应走规定线路，避开地面行人，铜包倾翻侧严禁站人。</w:t>
            </w:r>
          </w:p>
        </w:tc>
        <w:tc>
          <w:tcPr>
            <w:tcW w:w="2704" w:type="dxa"/>
            <w:vMerge/>
            <w:tcBorders>
              <w:left w:val="single" w:sz="4" w:space="0" w:color="auto"/>
              <w:bottom w:val="single" w:sz="4" w:space="0" w:color="auto"/>
              <w:right w:val="single" w:sz="4" w:space="0" w:color="auto"/>
            </w:tcBorders>
          </w:tcPr>
          <w:p w:rsidR="008B6FCD" w:rsidRDefault="008B6FCD" w:rsidP="008852CC">
            <w:pPr>
              <w:widowControl/>
              <w:spacing w:line="560" w:lineRule="exact"/>
              <w:rPr>
                <w:rFonts w:ascii="宋体" w:hAnsi="宋体" w:cs="仿宋"/>
                <w:bCs/>
                <w:kern w:val="0"/>
                <w:sz w:val="18"/>
                <w:szCs w:val="18"/>
              </w:rPr>
            </w:pPr>
          </w:p>
        </w:tc>
        <w:tc>
          <w:tcPr>
            <w:tcW w:w="1863" w:type="dxa"/>
            <w:vMerge/>
            <w:tcBorders>
              <w:left w:val="single" w:sz="4" w:space="0" w:color="auto"/>
              <w:bottom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r>
      <w:tr w:rsidR="008B6FCD" w:rsidTr="008852CC">
        <w:tblPrEx>
          <w:tblBorders>
            <w:insideH w:val="none" w:sz="0" w:space="0" w:color="auto"/>
            <w:insideV w:val="none" w:sz="0" w:space="0" w:color="auto"/>
          </w:tblBorders>
        </w:tblPrEx>
        <w:trPr>
          <w:trHeight w:val="582"/>
          <w:jc w:val="center"/>
        </w:trPr>
        <w:tc>
          <w:tcPr>
            <w:tcW w:w="817"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kern w:val="0"/>
                <w:sz w:val="18"/>
                <w:szCs w:val="18"/>
              </w:rPr>
              <w:t>15</w:t>
            </w:r>
          </w:p>
        </w:tc>
        <w:tc>
          <w:tcPr>
            <w:tcW w:w="1073"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电解铝</w:t>
            </w:r>
          </w:p>
          <w:p w:rsidR="008B6FCD" w:rsidRDefault="008B6FCD" w:rsidP="008852CC">
            <w:pPr>
              <w:widowControl/>
              <w:spacing w:line="560" w:lineRule="exact"/>
              <w:jc w:val="center"/>
              <w:rPr>
                <w:rFonts w:ascii="宋体" w:hAnsi="宋体" w:cs="仿宋"/>
                <w:kern w:val="0"/>
                <w:sz w:val="18"/>
                <w:szCs w:val="18"/>
              </w:rPr>
            </w:pPr>
            <w:r>
              <w:rPr>
                <w:rFonts w:ascii="宋体" w:hAnsi="宋体" w:cs="仿宋" w:hint="eastAsia"/>
                <w:kern w:val="0"/>
                <w:sz w:val="18"/>
                <w:szCs w:val="18"/>
              </w:rPr>
              <w:t>冶炼单元</w:t>
            </w: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出铝作业</w:t>
            </w:r>
          </w:p>
        </w:tc>
        <w:tc>
          <w:tcPr>
            <w:tcW w:w="6945" w:type="dxa"/>
            <w:tcBorders>
              <w:top w:val="single" w:sz="4" w:space="0" w:color="auto"/>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新使用或间断使用的铝包应预热后方可使用，不应使用受潮冷包。</w:t>
            </w:r>
          </w:p>
        </w:tc>
        <w:tc>
          <w:tcPr>
            <w:tcW w:w="2704" w:type="dxa"/>
            <w:vMerge w:val="restart"/>
            <w:tcBorders>
              <w:top w:val="single" w:sz="4" w:space="0" w:color="auto"/>
              <w:left w:val="single" w:sz="4" w:space="0" w:color="auto"/>
              <w:right w:val="single" w:sz="4" w:space="0" w:color="auto"/>
            </w:tcBorders>
            <w:vAlign w:val="center"/>
          </w:tcPr>
          <w:p w:rsidR="008B6FCD" w:rsidRDefault="008B6FCD" w:rsidP="008852CC">
            <w:pPr>
              <w:widowControl/>
              <w:spacing w:line="560" w:lineRule="exact"/>
              <w:jc w:val="left"/>
              <w:rPr>
                <w:rFonts w:ascii="宋体" w:hAnsi="宋体" w:cs="仿宋"/>
                <w:kern w:val="0"/>
                <w:sz w:val="18"/>
                <w:szCs w:val="18"/>
              </w:rPr>
            </w:pPr>
            <w:r>
              <w:rPr>
                <w:rFonts w:ascii="宋体" w:hAnsi="宋体" w:cs="仿宋" w:hint="eastAsia"/>
                <w:kern w:val="0"/>
                <w:sz w:val="18"/>
                <w:szCs w:val="18"/>
              </w:rPr>
              <w:t>《铝电解安全生产规范》4.1.8.4；4.1.8.8；4.1.8.11</w:t>
            </w:r>
          </w:p>
          <w:p w:rsidR="008B6FCD" w:rsidRDefault="008B6FCD" w:rsidP="008852CC">
            <w:pPr>
              <w:widowControl/>
              <w:spacing w:line="560" w:lineRule="exact"/>
              <w:jc w:val="left"/>
              <w:rPr>
                <w:rFonts w:ascii="宋体" w:hAnsi="宋体" w:cs="仿宋"/>
                <w:kern w:val="0"/>
                <w:sz w:val="18"/>
                <w:szCs w:val="18"/>
              </w:rPr>
            </w:pPr>
            <w:r>
              <w:rPr>
                <w:rFonts w:ascii="宋体" w:hAnsi="宋体" w:cs="仿宋" w:hint="eastAsia"/>
                <w:kern w:val="0"/>
                <w:sz w:val="18"/>
                <w:szCs w:val="18"/>
              </w:rPr>
              <w:t>；4.3.1.3；4.3.1.7。</w:t>
            </w:r>
          </w:p>
        </w:tc>
        <w:tc>
          <w:tcPr>
            <w:tcW w:w="1863" w:type="dxa"/>
            <w:vMerge w:val="restart"/>
            <w:tcBorders>
              <w:top w:val="single" w:sz="4" w:space="0" w:color="auto"/>
              <w:left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r>
              <w:rPr>
                <w:rFonts w:ascii="宋体" w:hAnsi="宋体" w:cs="仿宋" w:hint="eastAsia"/>
                <w:kern w:val="0"/>
                <w:sz w:val="18"/>
                <w:szCs w:val="18"/>
              </w:rPr>
              <w:t>查看规程、检查记录，现场</w:t>
            </w:r>
            <w:r>
              <w:rPr>
                <w:rFonts w:ascii="宋体" w:hAnsi="宋体" w:cs="仿宋" w:hint="eastAsia"/>
                <w:sz w:val="18"/>
                <w:szCs w:val="18"/>
              </w:rPr>
              <w:t>验证</w:t>
            </w:r>
          </w:p>
        </w:tc>
      </w:tr>
      <w:tr w:rsidR="008B6FCD" w:rsidTr="008852CC">
        <w:tblPrEx>
          <w:tblBorders>
            <w:insideH w:val="none" w:sz="0" w:space="0" w:color="auto"/>
            <w:insideV w:val="none" w:sz="0" w:space="0" w:color="auto"/>
          </w:tblBorders>
        </w:tblPrEx>
        <w:trPr>
          <w:trHeight w:val="39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铝液盛装不能过满，应低于铝包口20cm，以免运输溅出。</w:t>
            </w:r>
          </w:p>
        </w:tc>
        <w:tc>
          <w:tcPr>
            <w:tcW w:w="2704" w:type="dxa"/>
            <w:vMerge/>
            <w:tcBorders>
              <w:left w:val="single" w:sz="4" w:space="0" w:color="auto"/>
              <w:right w:val="single" w:sz="4" w:space="0" w:color="auto"/>
            </w:tcBorders>
            <w:vAlign w:val="center"/>
          </w:tcPr>
          <w:p w:rsidR="008B6FCD" w:rsidRDefault="008B6FCD" w:rsidP="008852CC">
            <w:pPr>
              <w:spacing w:line="560" w:lineRule="exact"/>
              <w:ind w:firstLine="360"/>
              <w:jc w:val="left"/>
              <w:rPr>
                <w:rFonts w:ascii="宋体" w:hAnsi="宋体" w:cs="仿宋"/>
                <w:kern w:val="0"/>
                <w:sz w:val="18"/>
                <w:szCs w:val="18"/>
              </w:rPr>
            </w:pPr>
          </w:p>
        </w:tc>
        <w:tc>
          <w:tcPr>
            <w:tcW w:w="1863" w:type="dxa"/>
            <w:vMerge/>
            <w:tcBorders>
              <w:left w:val="single" w:sz="4" w:space="0" w:color="auto"/>
              <w:right w:val="single" w:sz="4" w:space="0" w:color="auto"/>
            </w:tcBorders>
            <w:vAlign w:val="center"/>
          </w:tcPr>
          <w:p w:rsidR="008B6FCD" w:rsidRDefault="008B6FCD" w:rsidP="008852CC">
            <w:pPr>
              <w:spacing w:line="560" w:lineRule="exact"/>
              <w:ind w:firstLine="360"/>
              <w:jc w:val="left"/>
              <w:rPr>
                <w:rFonts w:ascii="宋体" w:hAnsi="宋体" w:cs="仿宋"/>
                <w:sz w:val="18"/>
                <w:szCs w:val="18"/>
              </w:rPr>
            </w:pPr>
          </w:p>
        </w:tc>
      </w:tr>
      <w:tr w:rsidR="008B6FCD" w:rsidTr="008852CC">
        <w:tblPrEx>
          <w:tblBorders>
            <w:insideH w:val="none" w:sz="0" w:space="0" w:color="auto"/>
            <w:insideV w:val="none" w:sz="0" w:space="0" w:color="auto"/>
          </w:tblBorders>
        </w:tblPrEx>
        <w:trPr>
          <w:trHeight w:val="416"/>
          <w:jc w:val="center"/>
        </w:trPr>
        <w:tc>
          <w:tcPr>
            <w:tcW w:w="817" w:type="dxa"/>
            <w:vMerge/>
            <w:tcBorders>
              <w:left w:val="single" w:sz="4" w:space="0" w:color="auto"/>
              <w:right w:val="single" w:sz="4" w:space="0" w:color="auto"/>
            </w:tcBorders>
            <w:vAlign w:val="center"/>
          </w:tcPr>
          <w:p w:rsidR="008B6FCD" w:rsidRDefault="008B6FCD" w:rsidP="008852CC">
            <w:pPr>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出铝作业时，若发现包体外侧异常发热，应立即停止使用。</w:t>
            </w:r>
          </w:p>
        </w:tc>
        <w:tc>
          <w:tcPr>
            <w:tcW w:w="2704" w:type="dxa"/>
            <w:vMerge/>
            <w:tcBorders>
              <w:left w:val="single" w:sz="4" w:space="0" w:color="auto"/>
              <w:right w:val="single" w:sz="4" w:space="0" w:color="auto"/>
            </w:tcBorders>
            <w:vAlign w:val="center"/>
          </w:tcPr>
          <w:p w:rsidR="008B6FCD" w:rsidRDefault="008B6FCD" w:rsidP="008852CC">
            <w:pPr>
              <w:spacing w:line="560" w:lineRule="exact"/>
              <w:ind w:firstLine="360"/>
              <w:jc w:val="left"/>
              <w:rPr>
                <w:rFonts w:ascii="宋体" w:hAnsi="宋体" w:cs="仿宋"/>
                <w:kern w:val="0"/>
                <w:sz w:val="18"/>
                <w:szCs w:val="18"/>
              </w:rPr>
            </w:pPr>
          </w:p>
        </w:tc>
        <w:tc>
          <w:tcPr>
            <w:tcW w:w="1863" w:type="dxa"/>
            <w:vMerge/>
            <w:tcBorders>
              <w:left w:val="single" w:sz="4" w:space="0" w:color="auto"/>
              <w:right w:val="single" w:sz="4" w:space="0" w:color="auto"/>
            </w:tcBorders>
            <w:vAlign w:val="center"/>
          </w:tcPr>
          <w:p w:rsidR="008B6FCD" w:rsidRDefault="008B6FCD" w:rsidP="008852CC">
            <w:pPr>
              <w:spacing w:line="560" w:lineRule="exact"/>
              <w:ind w:firstLine="360"/>
              <w:jc w:val="left"/>
              <w:rPr>
                <w:rFonts w:ascii="宋体" w:hAnsi="宋体" w:cs="仿宋"/>
                <w:sz w:val="18"/>
                <w:szCs w:val="18"/>
              </w:rPr>
            </w:pPr>
          </w:p>
        </w:tc>
      </w:tr>
      <w:tr w:rsidR="008B6FCD" w:rsidTr="008852CC">
        <w:tblPrEx>
          <w:tblBorders>
            <w:insideH w:val="none" w:sz="0" w:space="0" w:color="auto"/>
            <w:insideV w:val="none" w:sz="0" w:space="0" w:color="auto"/>
          </w:tblBorders>
        </w:tblPrEx>
        <w:trPr>
          <w:trHeight w:val="90"/>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vMerge w:val="restart"/>
            <w:tcBorders>
              <w:top w:val="single" w:sz="4" w:space="0" w:color="auto"/>
              <w:left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入铝作业</w:t>
            </w:r>
          </w:p>
        </w:tc>
        <w:tc>
          <w:tcPr>
            <w:tcW w:w="6945" w:type="dxa"/>
            <w:tcBorders>
              <w:top w:val="single" w:sz="4" w:space="0" w:color="auto"/>
              <w:left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在吊运过程中，抬包应平稳地放在包底座上，包梁的卡具应卡到位，防止翻包。</w:t>
            </w:r>
          </w:p>
        </w:tc>
        <w:tc>
          <w:tcPr>
            <w:tcW w:w="2704" w:type="dxa"/>
            <w:vMerge/>
            <w:tcBorders>
              <w:left w:val="single" w:sz="4" w:space="0" w:color="auto"/>
              <w:right w:val="single" w:sz="4" w:space="0" w:color="auto"/>
            </w:tcBorders>
            <w:vAlign w:val="center"/>
          </w:tcPr>
          <w:p w:rsidR="008B6FCD" w:rsidRDefault="008B6FCD" w:rsidP="008852CC">
            <w:pPr>
              <w:spacing w:line="560" w:lineRule="exact"/>
              <w:ind w:firstLine="360"/>
              <w:jc w:val="left"/>
              <w:rPr>
                <w:rFonts w:ascii="宋体" w:hAnsi="宋体" w:cs="仿宋"/>
                <w:kern w:val="0"/>
                <w:sz w:val="18"/>
                <w:szCs w:val="18"/>
              </w:rPr>
            </w:pPr>
          </w:p>
        </w:tc>
        <w:tc>
          <w:tcPr>
            <w:tcW w:w="1863" w:type="dxa"/>
            <w:vMerge/>
            <w:tcBorders>
              <w:left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p>
        </w:tc>
      </w:tr>
      <w:tr w:rsidR="008B6FCD" w:rsidTr="008852CC">
        <w:tblPrEx>
          <w:tblBorders>
            <w:insideH w:val="none" w:sz="0" w:space="0" w:color="auto"/>
            <w:insideV w:val="none" w:sz="0" w:space="0" w:color="auto"/>
          </w:tblBorders>
        </w:tblPrEx>
        <w:trPr>
          <w:trHeight w:val="724"/>
          <w:jc w:val="center"/>
        </w:trPr>
        <w:tc>
          <w:tcPr>
            <w:tcW w:w="817" w:type="dxa"/>
            <w:vMerge/>
            <w:tcBorders>
              <w:left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p>
        </w:tc>
        <w:tc>
          <w:tcPr>
            <w:tcW w:w="993" w:type="dxa"/>
            <w:vMerge/>
            <w:tcBorders>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rPr>
                <w:rFonts w:ascii="宋体" w:hAnsi="宋体" w:cs="仿宋"/>
                <w:kern w:val="0"/>
                <w:sz w:val="18"/>
                <w:szCs w:val="18"/>
              </w:rPr>
            </w:pPr>
            <w:r>
              <w:rPr>
                <w:rFonts w:ascii="宋体" w:hAnsi="宋体" w:cs="仿宋" w:hint="eastAsia"/>
                <w:kern w:val="0"/>
                <w:sz w:val="18"/>
                <w:szCs w:val="18"/>
              </w:rPr>
              <w:t>不应向抬包内加入带有水分、潮气和油垢的固体铝及其他物品，防止爆炸伤人。</w:t>
            </w:r>
          </w:p>
        </w:tc>
        <w:tc>
          <w:tcPr>
            <w:tcW w:w="2704" w:type="dxa"/>
            <w:vMerge/>
            <w:tcBorders>
              <w:left w:val="single" w:sz="4" w:space="0" w:color="auto"/>
              <w:right w:val="single" w:sz="4" w:space="0" w:color="auto"/>
            </w:tcBorders>
            <w:vAlign w:val="center"/>
          </w:tcPr>
          <w:p w:rsidR="008B6FCD" w:rsidRDefault="008B6FCD" w:rsidP="008852CC">
            <w:pPr>
              <w:spacing w:line="560" w:lineRule="exact"/>
              <w:jc w:val="left"/>
              <w:rPr>
                <w:rFonts w:ascii="宋体" w:hAnsi="宋体" w:cs="仿宋"/>
                <w:kern w:val="0"/>
                <w:sz w:val="18"/>
                <w:szCs w:val="18"/>
              </w:rPr>
            </w:pPr>
          </w:p>
        </w:tc>
        <w:tc>
          <w:tcPr>
            <w:tcW w:w="1863" w:type="dxa"/>
            <w:vMerge/>
            <w:tcBorders>
              <w:left w:val="single" w:sz="4" w:space="0" w:color="auto"/>
              <w:right w:val="single" w:sz="4" w:space="0" w:color="auto"/>
            </w:tcBorders>
            <w:vAlign w:val="center"/>
          </w:tcPr>
          <w:p w:rsidR="008B6FCD" w:rsidRDefault="008B6FCD" w:rsidP="008852CC">
            <w:pPr>
              <w:spacing w:line="560" w:lineRule="exact"/>
              <w:jc w:val="left"/>
              <w:rPr>
                <w:rFonts w:ascii="宋体" w:hAnsi="宋体" w:cs="仿宋"/>
                <w:sz w:val="18"/>
                <w:szCs w:val="18"/>
              </w:rPr>
            </w:pPr>
          </w:p>
        </w:tc>
      </w:tr>
      <w:tr w:rsidR="008B6FCD" w:rsidTr="008852CC">
        <w:tblPrEx>
          <w:tblBorders>
            <w:insideH w:val="none" w:sz="0" w:space="0" w:color="auto"/>
            <w:insideV w:val="none" w:sz="0" w:space="0" w:color="auto"/>
          </w:tblBorders>
        </w:tblPrEx>
        <w:trPr>
          <w:trHeight w:val="657"/>
          <w:jc w:val="center"/>
        </w:trPr>
        <w:tc>
          <w:tcPr>
            <w:tcW w:w="817"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1073" w:type="dxa"/>
            <w:vMerge/>
            <w:tcBorders>
              <w:left w:val="single" w:sz="4" w:space="0" w:color="auto"/>
              <w:bottom w:val="single" w:sz="4" w:space="0" w:color="auto"/>
              <w:right w:val="single" w:sz="4" w:space="0" w:color="auto"/>
            </w:tcBorders>
            <w:vAlign w:val="center"/>
          </w:tcPr>
          <w:p w:rsidR="008B6FCD" w:rsidRDefault="008B6FCD" w:rsidP="008852CC">
            <w:pPr>
              <w:widowControl/>
              <w:spacing w:line="560" w:lineRule="exact"/>
              <w:jc w:val="center"/>
              <w:rPr>
                <w:rFonts w:ascii="宋体" w:hAnsi="宋体" w:cs="仿宋"/>
                <w:kern w:val="0"/>
                <w:sz w:val="18"/>
                <w:szCs w:val="18"/>
              </w:rPr>
            </w:pPr>
          </w:p>
        </w:tc>
        <w:tc>
          <w:tcPr>
            <w:tcW w:w="99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autoSpaceDE w:val="0"/>
              <w:autoSpaceDN w:val="0"/>
              <w:adjustRightInd w:val="0"/>
              <w:spacing w:line="560" w:lineRule="exact"/>
              <w:rPr>
                <w:rFonts w:ascii="宋体" w:hAnsi="宋体" w:cs="仿宋"/>
                <w:kern w:val="0"/>
                <w:sz w:val="18"/>
                <w:szCs w:val="18"/>
              </w:rPr>
            </w:pPr>
            <w:r>
              <w:rPr>
                <w:rFonts w:ascii="宋体" w:hAnsi="宋体" w:cs="仿宋" w:hint="eastAsia"/>
                <w:kern w:val="0"/>
                <w:sz w:val="18"/>
                <w:szCs w:val="18"/>
              </w:rPr>
              <w:t>通用安全要求</w:t>
            </w:r>
          </w:p>
        </w:tc>
        <w:tc>
          <w:tcPr>
            <w:tcW w:w="6945"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t>①铸造机及熔炼炉周围发现有水必须立即清理干净，凡接触铝液的原材料、工器具、铸模、抬包及箱体等使用前必须进行干燥预热处理，确保无水后才能使用。②生产人</w:t>
            </w:r>
            <w:r>
              <w:rPr>
                <w:rFonts w:ascii="宋体" w:hAnsi="宋体" w:cs="仿宋" w:hint="eastAsia"/>
                <w:kern w:val="0"/>
                <w:sz w:val="18"/>
                <w:szCs w:val="18"/>
              </w:rPr>
              <w:lastRenderedPageBreak/>
              <w:t>员须穿劳保防护用品，引锭须戴面罩。③铸锭开始前检查冷却水能否进入结晶器内，若发现往里面反水，应及时调整，引锭头周围的石棉绳要塞紧。④发现铸锭缺陷堵流时必须堵死，并采用干燥的同牌号碎铝块填入铸锭中，确保铸锭在脱离结晶器前完全凝固。⑤铸造结束后停车不易过晚，停水时必须关严，在浇口部完全凝固后方可操作翻转架。⑥熔铸车间应制定冷却循环用水应急保障措施。⑦熔炼炉放铝口附近要配备必要的防泄漏、堵漏工器具或材料，如塞子、耐火毡帽、耐火泥、应急防护手套、面罩等。⑧熔炼炉周围应设置防止铝液泄露漫延挡墙。⑨爆炸事故发生时，应迅速撤离爆炸区人员至安全处，并立即对天然气、氯气进行关闭隔离，必要时通知关闭燃气总阀门。</w:t>
            </w:r>
          </w:p>
        </w:tc>
        <w:tc>
          <w:tcPr>
            <w:tcW w:w="2704"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lastRenderedPageBreak/>
              <w:t>《山东省有色企业铝粉尘、铝液爆炸事故防范重点措施》第二条</w:t>
            </w:r>
          </w:p>
          <w:p w:rsidR="008B6FCD" w:rsidRDefault="008B6FCD" w:rsidP="008852CC">
            <w:pPr>
              <w:widowControl/>
              <w:spacing w:line="560" w:lineRule="exact"/>
              <w:rPr>
                <w:rFonts w:ascii="宋体" w:hAnsi="宋体" w:cs="仿宋"/>
                <w:kern w:val="0"/>
                <w:sz w:val="18"/>
                <w:szCs w:val="18"/>
              </w:rPr>
            </w:pPr>
            <w:r>
              <w:rPr>
                <w:rFonts w:ascii="宋体" w:hAnsi="宋体" w:cs="仿宋" w:hint="eastAsia"/>
                <w:kern w:val="0"/>
                <w:sz w:val="18"/>
                <w:szCs w:val="18"/>
              </w:rPr>
              <w:lastRenderedPageBreak/>
              <w:t>《铝电解安全生产规范》4.1.1.2</w:t>
            </w:r>
          </w:p>
          <w:p w:rsidR="008B6FCD" w:rsidRDefault="008B6FCD" w:rsidP="008852CC">
            <w:pPr>
              <w:widowControl/>
              <w:spacing w:line="560" w:lineRule="exact"/>
              <w:rPr>
                <w:rFonts w:ascii="宋体" w:hAnsi="宋体" w:cs="仿宋"/>
                <w:kern w:val="0"/>
                <w:sz w:val="18"/>
                <w:szCs w:val="18"/>
              </w:rPr>
            </w:pPr>
          </w:p>
        </w:tc>
        <w:tc>
          <w:tcPr>
            <w:tcW w:w="1863" w:type="dxa"/>
            <w:tcBorders>
              <w:top w:val="single" w:sz="4" w:space="0" w:color="auto"/>
              <w:left w:val="single" w:sz="4" w:space="0" w:color="auto"/>
              <w:bottom w:val="single" w:sz="4" w:space="0" w:color="auto"/>
              <w:right w:val="single" w:sz="4" w:space="0" w:color="auto"/>
            </w:tcBorders>
            <w:vAlign w:val="center"/>
          </w:tcPr>
          <w:p w:rsidR="008B6FCD" w:rsidRDefault="008B6FCD" w:rsidP="008852CC">
            <w:pPr>
              <w:spacing w:line="560" w:lineRule="exact"/>
              <w:jc w:val="center"/>
              <w:rPr>
                <w:rFonts w:ascii="宋体" w:hAnsi="宋体" w:cs="仿宋"/>
                <w:sz w:val="18"/>
                <w:szCs w:val="18"/>
              </w:rPr>
            </w:pPr>
            <w:r>
              <w:rPr>
                <w:rFonts w:ascii="宋体" w:hAnsi="宋体" w:cs="仿宋" w:hint="eastAsia"/>
                <w:kern w:val="0"/>
                <w:sz w:val="18"/>
                <w:szCs w:val="18"/>
              </w:rPr>
              <w:lastRenderedPageBreak/>
              <w:t>查看安全评价报告，检查记录，现场</w:t>
            </w:r>
            <w:r>
              <w:rPr>
                <w:rFonts w:ascii="宋体" w:hAnsi="宋体" w:cs="仿宋" w:hint="eastAsia"/>
                <w:sz w:val="18"/>
                <w:szCs w:val="18"/>
              </w:rPr>
              <w:t>验证</w:t>
            </w:r>
          </w:p>
        </w:tc>
      </w:tr>
    </w:tbl>
    <w:p w:rsidR="008B6FCD" w:rsidRDefault="008B6FCD" w:rsidP="008B6FCD">
      <w:pPr>
        <w:spacing w:line="560" w:lineRule="exact"/>
        <w:jc w:val="left"/>
        <w:rPr>
          <w:rFonts w:ascii="宋体" w:hAnsi="宋体"/>
          <w:sz w:val="18"/>
          <w:szCs w:val="18"/>
        </w:rPr>
      </w:pPr>
    </w:p>
    <w:p w:rsidR="008B6FCD" w:rsidRDefault="008B6FCD" w:rsidP="008B6FCD">
      <w:pPr>
        <w:pStyle w:val="2"/>
        <w:ind w:firstLine="360"/>
        <w:rPr>
          <w:rFonts w:ascii="宋体" w:hAnsi="宋体"/>
          <w:sz w:val="18"/>
          <w:szCs w:val="18"/>
        </w:rPr>
      </w:pPr>
    </w:p>
    <w:p w:rsidR="008B6FCD" w:rsidRDefault="008B6FCD" w:rsidP="008B6FCD">
      <w:pPr>
        <w:pStyle w:val="2"/>
        <w:ind w:firstLine="360"/>
        <w:rPr>
          <w:rFonts w:ascii="宋体" w:hAnsi="宋体"/>
          <w:sz w:val="18"/>
          <w:szCs w:val="18"/>
        </w:rPr>
      </w:pPr>
    </w:p>
    <w:p w:rsidR="008B6FCD" w:rsidRDefault="008B6FCD" w:rsidP="008B6FCD">
      <w:pPr>
        <w:pStyle w:val="2"/>
        <w:ind w:firstLine="360"/>
        <w:rPr>
          <w:rFonts w:ascii="宋体" w:hAnsi="宋体"/>
          <w:sz w:val="18"/>
          <w:szCs w:val="18"/>
        </w:rPr>
      </w:pPr>
    </w:p>
    <w:p w:rsidR="008B6FCD" w:rsidRDefault="008B6FCD" w:rsidP="008B6FCD">
      <w:pPr>
        <w:pStyle w:val="2"/>
        <w:ind w:firstLine="360"/>
        <w:rPr>
          <w:rFonts w:ascii="宋体" w:hAnsi="宋体"/>
          <w:sz w:val="18"/>
          <w:szCs w:val="18"/>
        </w:rPr>
      </w:pPr>
    </w:p>
    <w:p w:rsidR="008B6FCD" w:rsidRDefault="008B6FCD" w:rsidP="008B6FCD">
      <w:pPr>
        <w:pStyle w:val="2"/>
        <w:ind w:firstLine="360"/>
        <w:rPr>
          <w:rFonts w:ascii="宋体" w:hAnsi="宋体"/>
          <w:sz w:val="18"/>
          <w:szCs w:val="18"/>
        </w:rPr>
      </w:pPr>
    </w:p>
    <w:p w:rsidR="008B6FCD" w:rsidRDefault="008B6FCD" w:rsidP="008B6FCD">
      <w:pPr>
        <w:pStyle w:val="2"/>
        <w:ind w:firstLine="360"/>
        <w:rPr>
          <w:rFonts w:ascii="宋体" w:hAnsi="宋体"/>
          <w:sz w:val="18"/>
          <w:szCs w:val="18"/>
        </w:rPr>
      </w:pPr>
    </w:p>
    <w:p w:rsidR="008B6FCD" w:rsidRDefault="008B6FCD" w:rsidP="008B6FCD">
      <w:pPr>
        <w:pStyle w:val="2"/>
        <w:ind w:firstLine="360"/>
        <w:rPr>
          <w:rFonts w:ascii="宋体" w:hAnsi="宋体"/>
          <w:sz w:val="18"/>
          <w:szCs w:val="18"/>
        </w:rPr>
      </w:pPr>
    </w:p>
    <w:p w:rsidR="008B6FCD" w:rsidRDefault="008B6FCD" w:rsidP="008B6FCD">
      <w:pPr>
        <w:pStyle w:val="2"/>
        <w:ind w:leftChars="0" w:left="0" w:firstLineChars="0" w:firstLine="0"/>
        <w:rPr>
          <w:rFonts w:ascii="宋体" w:hAnsi="宋体"/>
          <w:sz w:val="18"/>
          <w:szCs w:val="18"/>
        </w:rPr>
        <w:sectPr w:rsidR="008B6FCD">
          <w:footerReference w:type="default" r:id="rId19"/>
          <w:pgSz w:w="16838" w:h="11906" w:orient="landscape"/>
          <w:pgMar w:top="1803" w:right="1440" w:bottom="1803" w:left="1440" w:header="851" w:footer="992" w:gutter="0"/>
          <w:pgNumType w:fmt="numberInDash"/>
          <w:cols w:space="0"/>
          <w:docGrid w:type="lines" w:linePitch="332"/>
        </w:sectPr>
      </w:pPr>
    </w:p>
    <w:p w:rsidR="008B6FCD" w:rsidRDefault="008B6FCD" w:rsidP="008B6FCD">
      <w:pPr>
        <w:pStyle w:val="2"/>
        <w:ind w:leftChars="0" w:left="0" w:firstLineChars="0" w:firstLine="0"/>
        <w:rPr>
          <w:rFonts w:ascii="宋体" w:hAnsi="宋体"/>
          <w:sz w:val="18"/>
          <w:szCs w:val="18"/>
        </w:rPr>
      </w:pPr>
    </w:p>
    <w:p w:rsidR="008B6FCD" w:rsidRDefault="008B6FCD" w:rsidP="008B6FCD">
      <w:pPr>
        <w:pStyle w:val="2"/>
        <w:ind w:leftChars="0" w:left="0" w:firstLineChars="0" w:firstLine="0"/>
        <w:rPr>
          <w:rFonts w:ascii="宋体" w:hAnsi="宋体"/>
          <w:sz w:val="18"/>
          <w:szCs w:val="18"/>
        </w:rPr>
      </w:pPr>
    </w:p>
    <w:p w:rsidR="008B6FCD" w:rsidRDefault="008B6FCD" w:rsidP="008B6FCD">
      <w:pPr>
        <w:pStyle w:val="2"/>
        <w:ind w:leftChars="0" w:left="0" w:firstLineChars="0" w:firstLine="0"/>
        <w:rPr>
          <w:rFonts w:ascii="宋体" w:hAnsi="宋体"/>
          <w:sz w:val="18"/>
          <w:szCs w:val="18"/>
        </w:rPr>
      </w:pPr>
    </w:p>
    <w:p w:rsidR="008B6FCD" w:rsidRDefault="008B6FCD" w:rsidP="008B6FCD">
      <w:pPr>
        <w:pStyle w:val="2"/>
        <w:ind w:leftChars="0" w:left="0" w:firstLineChars="0" w:firstLine="0"/>
        <w:rPr>
          <w:rFonts w:ascii="宋体" w:hAnsi="宋体"/>
          <w:sz w:val="18"/>
          <w:szCs w:val="18"/>
        </w:rPr>
      </w:pPr>
    </w:p>
    <w:p w:rsidR="008B6FCD" w:rsidRDefault="008B6FCD" w:rsidP="008B6FCD">
      <w:pPr>
        <w:pStyle w:val="2"/>
        <w:ind w:leftChars="0" w:left="0" w:firstLineChars="0" w:firstLine="0"/>
        <w:rPr>
          <w:rFonts w:ascii="宋体" w:hAnsi="宋体"/>
          <w:sz w:val="18"/>
          <w:szCs w:val="18"/>
        </w:rPr>
      </w:pPr>
    </w:p>
    <w:p w:rsidR="008B6FCD" w:rsidRDefault="008B6FCD" w:rsidP="008B6FCD">
      <w:pPr>
        <w:pStyle w:val="2"/>
        <w:ind w:leftChars="0" w:left="0" w:firstLineChars="0" w:firstLine="0"/>
        <w:rPr>
          <w:rFonts w:ascii="宋体" w:hAnsi="宋体"/>
          <w:sz w:val="18"/>
          <w:szCs w:val="18"/>
        </w:rPr>
      </w:pPr>
    </w:p>
    <w:p w:rsidR="008B6FCD" w:rsidRDefault="008B6FCD" w:rsidP="008B6FCD">
      <w:pPr>
        <w:pStyle w:val="2"/>
        <w:ind w:leftChars="0" w:left="0" w:firstLineChars="0" w:firstLine="0"/>
        <w:rPr>
          <w:rFonts w:ascii="宋体" w:hAnsi="宋体"/>
          <w:sz w:val="18"/>
          <w:szCs w:val="18"/>
        </w:rPr>
      </w:pPr>
    </w:p>
    <w:p w:rsidR="008B6FCD" w:rsidRDefault="008B6FCD" w:rsidP="008B6FCD">
      <w:pPr>
        <w:pStyle w:val="2"/>
        <w:ind w:leftChars="0" w:left="0" w:firstLineChars="0" w:firstLine="0"/>
        <w:rPr>
          <w:rFonts w:ascii="宋体" w:hAnsi="宋体"/>
          <w:sz w:val="18"/>
          <w:szCs w:val="18"/>
        </w:rPr>
      </w:pPr>
    </w:p>
    <w:p w:rsidR="008B6FCD" w:rsidRDefault="008B6FCD" w:rsidP="008B6FCD">
      <w:pPr>
        <w:pStyle w:val="2"/>
        <w:ind w:leftChars="0" w:left="0" w:firstLineChars="0" w:firstLine="0"/>
        <w:rPr>
          <w:rFonts w:ascii="宋体" w:hAnsi="宋体"/>
          <w:sz w:val="18"/>
          <w:szCs w:val="18"/>
        </w:rPr>
      </w:pPr>
    </w:p>
    <w:p w:rsidR="008B6FCD" w:rsidRDefault="008B6FCD" w:rsidP="008B6FCD">
      <w:pPr>
        <w:pStyle w:val="2"/>
        <w:ind w:leftChars="0" w:left="0" w:firstLineChars="0" w:firstLine="0"/>
        <w:rPr>
          <w:rFonts w:ascii="宋体" w:hAnsi="宋体"/>
          <w:sz w:val="18"/>
          <w:szCs w:val="18"/>
        </w:rPr>
      </w:pPr>
    </w:p>
    <w:p w:rsidR="00573E28" w:rsidRPr="008B6FCD" w:rsidRDefault="00573E28" w:rsidP="008B6FCD">
      <w:pPr>
        <w:pStyle w:val="aa"/>
        <w:rPr>
          <w:rFonts w:hint="eastAsia"/>
          <w:lang w:val="en-US"/>
        </w:rPr>
      </w:pPr>
      <w:bookmarkStart w:id="3" w:name="_GoBack"/>
      <w:bookmarkEnd w:id="3"/>
    </w:p>
    <w:sectPr w:rsidR="00573E28" w:rsidRPr="008B6FCD">
      <w:footerReference w:type="default" r:id="rId20"/>
      <w:pgSz w:w="11906" w:h="16838"/>
      <w:pgMar w:top="1440" w:right="1803" w:bottom="1440" w:left="1803" w:header="851" w:footer="992" w:gutter="0"/>
      <w:pgNumType w:fmt="numberInDash"/>
      <w:cols w:space="0"/>
      <w:docGrid w:type="lines" w:linePitch="33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04DD" w:rsidRDefault="00E004DD">
      <w:r>
        <w:separator/>
      </w:r>
    </w:p>
  </w:endnote>
  <w:endnote w:type="continuationSeparator" w:id="0">
    <w:p w:rsidR="00E004DD" w:rsidRDefault="00E004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方正小标宋_GBK">
    <w:altName w:val="微软雅黑"/>
    <w:charset w:val="86"/>
    <w:family w:val="script"/>
    <w:pitch w:val="default"/>
    <w:sig w:usb0="00000000" w:usb1="00000000" w:usb2="00000000" w:usb3="00000000" w:csb0="00040000" w:csb1="00000000"/>
  </w:font>
  <w:font w:name="方正小标宋简体">
    <w:altName w:val="Arial Unicode MS"/>
    <w:panose1 w:val="02010601030101010101"/>
    <w:charset w:val="86"/>
    <w:family w:val="auto"/>
    <w:pitch w:val="variable"/>
    <w:sig w:usb0="A00002BF" w:usb1="184F6CFA" w:usb2="00000012" w:usb3="00000000" w:csb0="00040001" w:csb1="00000000"/>
  </w:font>
  <w:font w:name="华文中宋">
    <w:panose1 w:val="02010600040101010101"/>
    <w:charset w:val="86"/>
    <w:family w:val="auto"/>
    <w:pitch w:val="variable"/>
    <w:sig w:usb0="00000287" w:usb1="080F0000" w:usb2="00000010" w:usb3="00000000" w:csb0="0004009F"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SimSun-ExtB">
    <w:panose1 w:val="02010609060101010101"/>
    <w:charset w:val="86"/>
    <w:family w:val="modern"/>
    <w:pitch w:val="fixed"/>
    <w:sig w:usb0="00000003" w:usb1="0A0E0000" w:usb2="00000010"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6635" w:rsidRDefault="00656635">
    <w:pPr>
      <w:pStyle w:val="af2"/>
    </w:pPr>
    <w:r>
      <w:rPr>
        <w:noProof/>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56635" w:rsidRDefault="00656635">
                          <w:pPr>
                            <w:pStyle w:val="af2"/>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92.8pt;margin-top:0;width:2in;height:2in;z-index:25166438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656635" w:rsidRDefault="00656635">
                    <w:pPr>
                      <w:pStyle w:val="af2"/>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6635" w:rsidRDefault="00656635">
    <w:pPr>
      <w:pStyle w:val="af2"/>
      <w:ind w:firstLine="360"/>
      <w:jc w:val="center"/>
    </w:pPr>
    <w:r>
      <w:rPr>
        <w:noProof/>
      </w:rPr>
      <mc:AlternateContent>
        <mc:Choice Requires="wps">
          <w:drawing>
            <wp:anchor distT="0" distB="0" distL="114300" distR="114300" simplePos="0" relativeHeight="25165772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56635" w:rsidRDefault="00656635">
                          <w:pPr>
                            <w:pStyle w:val="af2"/>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7" type="#_x0000_t202" style="position:absolute;left:0;text-align:left;margin-left:92.8pt;margin-top:0;width:2in;height:2in;z-index:25165772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" filled="f" stroked="f" strokeweight=".5pt">
              <v:textbox style="mso-fit-shape-to-text:t" inset="0,0,0,0">
                <w:txbxContent>
                  <w:p w:rsidR="00656635" w:rsidRDefault="00656635">
                    <w:pPr>
                      <w:pStyle w:val="af2"/>
                    </w:pPr>
                  </w:p>
                </w:txbxContent>
              </v:textbox>
              <w10:wrap anchorx="margin"/>
            </v:shape>
          </w:pict>
        </mc:Fallback>
      </mc:AlternateContent>
    </w:r>
    <w:r>
      <w:rPr>
        <w:noProof/>
      </w:rPr>
      <mc:AlternateContent>
        <mc:Choice Requires="wps">
          <w:drawing>
            <wp:anchor distT="0" distB="0" distL="114300" distR="114300" simplePos="0" relativeHeight="251654656"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56635" w:rsidRDefault="00656635">
                          <w:pPr>
                            <w:pStyle w:val="af2"/>
                            <w:rPr>
                              <w:rFonts w:ascii="Times New Roman" w:hAnsi="Times New Roman" w:cs="Times New Roman"/>
                              <w:sz w:val="28"/>
                              <w:szCs w:val="2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3" o:spid="_x0000_s1028" type="#_x0000_t202" style="position:absolute;left:0;text-align:left;margin-left:92.8pt;margin-top:0;width:2in;height:2in;z-index:25165465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" filled="f" stroked="f" strokeweight=".5pt">
              <v:textbox style="mso-fit-shape-to-text:t" inset="0,0,0,0">
                <w:txbxContent>
                  <w:p w:rsidR="00656635" w:rsidRDefault="00656635">
                    <w:pPr>
                      <w:pStyle w:val="af2"/>
                      <w:rPr>
                        <w:rFonts w:ascii="Times New Roman" w:hAnsi="Times New Roman" w:cs="Times New Roman"/>
                        <w:sz w:val="28"/>
                        <w:szCs w:val="28"/>
                      </w:rPr>
                    </w:pPr>
                  </w:p>
                </w:txbxContent>
              </v:textbox>
              <w10:wrap anchorx="margin"/>
            </v:shape>
          </w:pict>
        </mc:Fallback>
      </mc:AlternateContent>
    </w:r>
  </w:p>
  <w:p w:rsidR="00656635" w:rsidRDefault="00656635">
    <w:pPr>
      <w:pStyle w:val="af2"/>
      <w:ind w:firstLine="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6FCD" w:rsidRDefault="008B6FCD">
    <w:pPr>
      <w:pStyle w:val="af2"/>
      <w:ind w:firstLine="360"/>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6FCD" w:rsidRDefault="008B6FCD">
    <w:pPr>
      <w:pStyle w:val="af2"/>
      <w:ind w:firstLine="360"/>
      <w:jc w:val="center"/>
    </w:pPr>
    <w:r>
      <w:rPr>
        <w:noProof/>
      </w:rPr>
      <mc:AlternateContent>
        <mc:Choice Requires="wps">
          <w:drawing>
            <wp:anchor distT="0" distB="0" distL="114300" distR="114300" simplePos="0" relativeHeight="251659776" behindDoc="0" locked="0" layoutInCell="1" allowOverlap="1" wp14:anchorId="0F7DF6F4" wp14:editId="6E77B99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8B6FCD" w:rsidRDefault="008B6FCD">
                          <w:pPr>
                            <w:pStyle w:val="af2"/>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noProof/>
                              <w:sz w:val="28"/>
                              <w:szCs w:val="28"/>
                            </w:rPr>
                            <w:t>- 13 -</w:t>
                          </w:r>
                          <w:r>
                            <w:rPr>
                              <w:rFonts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F7DF6F4" id="_x0000_t202" coordsize="21600,21600" o:spt="202" path="m,l,21600r21600,l21600,xe">
              <v:stroke joinstyle="miter"/>
              <v:path gradientshapeok="t" o:connecttype="rect"/>
            </v:shapetype>
            <v:shape id="文本框 4" o:spid="_x0000_s1029" type="#_x0000_t202" style="position:absolute;left:0;text-align:left;margin-left:92.8pt;margin-top:0;width:2in;height:2in;z-index:25165977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" filled="f" stroked="f" strokeweight=".5pt">
              <v:textbox style="mso-fit-shape-to-text:t" inset="0,0,0,0">
                <w:txbxContent>
                  <w:p w:rsidR="008B6FCD" w:rsidRDefault="008B6FCD">
                    <w:pPr>
                      <w:pStyle w:val="af2"/>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noProof/>
                        <w:sz w:val="28"/>
                        <w:szCs w:val="28"/>
                      </w:rPr>
                      <w:t>- 13 -</w:t>
                    </w:r>
                    <w:r>
                      <w:rPr>
                        <w:rFonts w:ascii="Times New Roman" w:hAnsi="Times New Roman" w:cs="Times New Roman"/>
                        <w:sz w:val="28"/>
                        <w:szCs w:val="28"/>
                      </w:rPr>
                      <w:fldChar w:fldCharType="end"/>
                    </w:r>
                  </w:p>
                </w:txbxContent>
              </v:textbox>
              <w10:wrap anchorx="margin"/>
            </v:shape>
          </w:pict>
        </mc:Fallback>
      </mc:AlternateContent>
    </w:r>
    <w:r>
      <w:rPr>
        <w:noProof/>
      </w:rPr>
      <mc:AlternateContent>
        <mc:Choice Requires="wps">
          <w:drawing>
            <wp:anchor distT="0" distB="0" distL="114300" distR="114300" simplePos="0" relativeHeight="251658752" behindDoc="0" locked="0" layoutInCell="1" allowOverlap="1" wp14:anchorId="0216E218" wp14:editId="42EC7448">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8B6FCD" w:rsidRDefault="008B6FCD">
                          <w:pPr>
                            <w:pStyle w:val="af2"/>
                            <w:rPr>
                              <w:rFonts w:ascii="Times New Roman" w:hAnsi="Times New Roman" w:cs="Times New Roman"/>
                              <w:sz w:val="28"/>
                              <w:szCs w:val="2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w14:anchorId="0216E218" id="文本框 6" o:spid="_x0000_s1030" type="#_x0000_t202" style="position:absolute;left:0;text-align:left;margin-left:92.8pt;margin-top:0;width:2in;height:2in;z-index:25165875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" filled="f" stroked="f" strokeweight=".5pt">
              <v:textbox style="mso-fit-shape-to-text:t" inset="0,0,0,0">
                <w:txbxContent>
                  <w:p w:rsidR="008B6FCD" w:rsidRDefault="008B6FCD">
                    <w:pPr>
                      <w:pStyle w:val="af2"/>
                      <w:rPr>
                        <w:rFonts w:ascii="Times New Roman" w:hAnsi="Times New Roman" w:cs="Times New Roman"/>
                        <w:sz w:val="28"/>
                        <w:szCs w:val="28"/>
                      </w:rPr>
                    </w:pPr>
                  </w:p>
                </w:txbxContent>
              </v:textbox>
              <w10:wrap anchorx="margin"/>
            </v:shape>
          </w:pict>
        </mc:Fallback>
      </mc:AlternateContent>
    </w:r>
  </w:p>
  <w:p w:rsidR="008B6FCD" w:rsidRDefault="008B6FCD">
    <w:pPr>
      <w:pStyle w:val="af2"/>
      <w:ind w:firstLine="360"/>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6FCD" w:rsidRDefault="008B6FCD">
    <w:pPr>
      <w:pStyle w:val="af2"/>
      <w:ind w:firstLine="360"/>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6FCD" w:rsidRDefault="008B6FCD">
    <w:pPr>
      <w:pStyle w:val="af2"/>
      <w:ind w:firstLine="360"/>
      <w:jc w:val="center"/>
    </w:pPr>
    <w:r>
      <w:rPr>
        <w:noProof/>
      </w:rPr>
      <mc:AlternateContent>
        <mc:Choice Requires="wps">
          <w:drawing>
            <wp:anchor distT="0" distB="0" distL="114300" distR="114300" simplePos="0" relativeHeight="251660800" behindDoc="0" locked="0" layoutInCell="1" allowOverlap="1" wp14:anchorId="0435C587" wp14:editId="1DE78E95">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8B6FCD" w:rsidRDefault="008B6FCD">
                          <w:pPr>
                            <w:pStyle w:val="af2"/>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noProof/>
                              <w:sz w:val="28"/>
                              <w:szCs w:val="28"/>
                            </w:rPr>
                            <w:t>- 61 -</w:t>
                          </w:r>
                          <w:r>
                            <w:rPr>
                              <w:rFonts w:ascii="Times New Roman" w:hAnsi="Times New Roman" w:cs="Times New Roman"/>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435C587" id="_x0000_t202" coordsize="21600,21600" o:spt="202" path="m,l,21600r21600,l21600,xe">
              <v:stroke joinstyle="miter"/>
              <v:path gradientshapeok="t" o:connecttype="rect"/>
            </v:shapetype>
            <v:shape id="文本框 5" o:spid="_x0000_s1031" type="#_x0000_t202" style="position:absolute;left:0;text-align:left;margin-left:92.8pt;margin-top:0;width:2in;height:2in;z-index:25166080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" filled="f" stroked="f" strokeweight=".5pt">
              <v:textbox style="mso-fit-shape-to-text:t" inset="0,0,0,0">
                <w:txbxContent>
                  <w:p w:rsidR="008B6FCD" w:rsidRDefault="008B6FCD">
                    <w:pPr>
                      <w:pStyle w:val="af2"/>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Pr>
                        <w:rFonts w:ascii="Times New Roman" w:hAnsi="Times New Roman" w:cs="Times New Roman"/>
                        <w:noProof/>
                        <w:sz w:val="28"/>
                        <w:szCs w:val="28"/>
                      </w:rPr>
                      <w:t>- 61 -</w:t>
                    </w:r>
                    <w:r>
                      <w:rPr>
                        <w:rFonts w:ascii="Times New Roman" w:hAnsi="Times New Roman" w:cs="Times New Roman"/>
                        <w:sz w:val="28"/>
                        <w:szCs w:val="28"/>
                      </w:rPr>
                      <w:fldChar w:fldCharType="end"/>
                    </w:r>
                  </w:p>
                </w:txbxContent>
              </v:textbox>
              <w10:wrap anchorx="margin"/>
            </v:shape>
          </w:pict>
        </mc:Fallback>
      </mc:AlternateContent>
    </w:r>
  </w:p>
  <w:p w:rsidR="008B6FCD" w:rsidRDefault="008B6FCD">
    <w:pPr>
      <w:pStyle w:val="af2"/>
      <w:ind w:firstLine="360"/>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6635" w:rsidRDefault="00656635">
    <w:pPr>
      <w:pStyle w:val="af2"/>
      <w:ind w:firstLine="360"/>
      <w:jc w:val="center"/>
    </w:pPr>
  </w:p>
  <w:p w:rsidR="00656635" w:rsidRDefault="00656635">
    <w:pPr>
      <w:pStyle w:val="af2"/>
      <w:ind w:firstLine="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04DD" w:rsidRDefault="00E004DD">
      <w:r>
        <w:separator/>
      </w:r>
    </w:p>
  </w:footnote>
  <w:footnote w:type="continuationSeparator" w:id="0">
    <w:p w:rsidR="00E004DD" w:rsidRDefault="00E004D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6635" w:rsidRDefault="00656635">
    <w:pPr>
      <w:ind w:left="48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6FCD" w:rsidRDefault="008B6FCD">
    <w:pPr>
      <w:pStyle w:val="af4"/>
      <w:ind w:firstLine="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6FCD" w:rsidRDefault="008B6FCD">
    <w:pPr>
      <w:ind w:left="480"/>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B6FCD" w:rsidRDefault="008B6FCD">
    <w:pPr>
      <w:pStyle w:val="af4"/>
      <w:ind w:firstLine="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C91163"/>
    <w:multiLevelType w:val="multilevel"/>
    <w:tmpl w:val="1FC91163"/>
    <w:lvl w:ilvl="0">
      <w:start w:val="1"/>
      <w:numFmt w:val="decimal"/>
      <w:suff w:val="nothing"/>
      <w:lvlText w:val="%1　"/>
      <w:lvlJc w:val="left"/>
      <w:pPr>
        <w:ind w:left="0" w:firstLine="0"/>
      </w:pPr>
      <w:rPr>
        <w:rFonts w:ascii="黑体" w:eastAsia="黑体" w:hAnsi="Times New Roman" w:hint="eastAsia"/>
        <w:b w:val="0"/>
        <w:i w:val="0"/>
        <w:sz w:val="21"/>
        <w:szCs w:val="21"/>
      </w:rPr>
    </w:lvl>
    <w:lvl w:ilvl="1">
      <w:start w:val="1"/>
      <w:numFmt w:val="decimal"/>
      <w:pStyle w:val="a"/>
      <w:suff w:val="nothing"/>
      <w:lvlText w:val="%1.%2　"/>
      <w:lvlJc w:val="left"/>
      <w:pPr>
        <w:ind w:left="1134" w:firstLine="0"/>
      </w:pPr>
      <w:rPr>
        <w:rFonts w:ascii="黑体" w:eastAsia="黑体" w:hAnsi="Times New Roman" w:cs="Times New Roman" w:hint="eastAsia"/>
        <w:b w:val="0"/>
        <w:bCs w:val="0"/>
        <w:i w:val="0"/>
        <w:iCs w:val="0"/>
        <w:caps w:val="0"/>
        <w:strike w:val="0"/>
        <w:dstrike w:val="0"/>
        <w:vanish w:val="0"/>
        <w:color w:val="auto"/>
        <w:spacing w:val="0"/>
        <w:kern w:val="0"/>
        <w:position w:val="0"/>
        <w:sz w:val="21"/>
        <w:szCs w:val="21"/>
        <w:u w:val="none"/>
        <w:vertAlign w:val="baseline"/>
      </w:rPr>
    </w:lvl>
    <w:lvl w:ilvl="2">
      <w:start w:val="1"/>
      <w:numFmt w:val="decimal"/>
      <w:suff w:val="nothing"/>
      <w:lvlText w:val="%1.%2.%3　"/>
      <w:lvlJc w:val="left"/>
      <w:pPr>
        <w:ind w:left="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2"/>
  <w:embedSystemFonts/>
  <w:bordersDoNotSurroundHeader/>
  <w:bordersDoNotSurroundFooter/>
  <w:hideSpellingErrors/>
  <w:defaultTabStop w:val="420"/>
  <w:drawingGridVerticalSpacing w:val="16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535113"/>
    <w:rsid w:val="00000607"/>
    <w:rsid w:val="00074ADF"/>
    <w:rsid w:val="000A4805"/>
    <w:rsid w:val="000B7CA3"/>
    <w:rsid w:val="00137BD4"/>
    <w:rsid w:val="00142390"/>
    <w:rsid w:val="001A1FB1"/>
    <w:rsid w:val="0023558C"/>
    <w:rsid w:val="00261C02"/>
    <w:rsid w:val="002E4B7F"/>
    <w:rsid w:val="0032280F"/>
    <w:rsid w:val="0037411B"/>
    <w:rsid w:val="003B0610"/>
    <w:rsid w:val="004632BF"/>
    <w:rsid w:val="00516391"/>
    <w:rsid w:val="00573E28"/>
    <w:rsid w:val="005A5DC8"/>
    <w:rsid w:val="00656635"/>
    <w:rsid w:val="006B05B6"/>
    <w:rsid w:val="006E07E2"/>
    <w:rsid w:val="00743634"/>
    <w:rsid w:val="007F3258"/>
    <w:rsid w:val="00893B3D"/>
    <w:rsid w:val="008B6FCD"/>
    <w:rsid w:val="008C7CC8"/>
    <w:rsid w:val="008E11AC"/>
    <w:rsid w:val="009307EB"/>
    <w:rsid w:val="00A60ED9"/>
    <w:rsid w:val="00AC035C"/>
    <w:rsid w:val="00B15999"/>
    <w:rsid w:val="00B663F5"/>
    <w:rsid w:val="00C21F1C"/>
    <w:rsid w:val="00C8634E"/>
    <w:rsid w:val="00DF1BCF"/>
    <w:rsid w:val="00E004DD"/>
    <w:rsid w:val="00EF70A8"/>
    <w:rsid w:val="00F9418A"/>
    <w:rsid w:val="01146B05"/>
    <w:rsid w:val="0117771A"/>
    <w:rsid w:val="013174F5"/>
    <w:rsid w:val="013A1C20"/>
    <w:rsid w:val="013E6C54"/>
    <w:rsid w:val="0144048A"/>
    <w:rsid w:val="01921597"/>
    <w:rsid w:val="01BA0D46"/>
    <w:rsid w:val="01CD1067"/>
    <w:rsid w:val="024A059A"/>
    <w:rsid w:val="025D4328"/>
    <w:rsid w:val="026A59F9"/>
    <w:rsid w:val="02785C72"/>
    <w:rsid w:val="029872F0"/>
    <w:rsid w:val="029D5084"/>
    <w:rsid w:val="02B6534E"/>
    <w:rsid w:val="02DF7A83"/>
    <w:rsid w:val="02EE3214"/>
    <w:rsid w:val="030D477F"/>
    <w:rsid w:val="034F34A4"/>
    <w:rsid w:val="03511C1C"/>
    <w:rsid w:val="038E77F2"/>
    <w:rsid w:val="03B171FC"/>
    <w:rsid w:val="03D7649F"/>
    <w:rsid w:val="03DE3384"/>
    <w:rsid w:val="04067715"/>
    <w:rsid w:val="04274CC1"/>
    <w:rsid w:val="044E378F"/>
    <w:rsid w:val="04797B62"/>
    <w:rsid w:val="049C47FA"/>
    <w:rsid w:val="04B84CCD"/>
    <w:rsid w:val="04D90EC2"/>
    <w:rsid w:val="05055A6F"/>
    <w:rsid w:val="05101EC8"/>
    <w:rsid w:val="05172732"/>
    <w:rsid w:val="05406DA5"/>
    <w:rsid w:val="055D39ED"/>
    <w:rsid w:val="05A644F9"/>
    <w:rsid w:val="05C61033"/>
    <w:rsid w:val="05DF14C7"/>
    <w:rsid w:val="060B2F95"/>
    <w:rsid w:val="061F5B26"/>
    <w:rsid w:val="06701BF3"/>
    <w:rsid w:val="06773198"/>
    <w:rsid w:val="06A261A8"/>
    <w:rsid w:val="06AC26FD"/>
    <w:rsid w:val="06C31CE2"/>
    <w:rsid w:val="06EF4360"/>
    <w:rsid w:val="07252BF3"/>
    <w:rsid w:val="07813CA2"/>
    <w:rsid w:val="078A74F0"/>
    <w:rsid w:val="07FD5F3C"/>
    <w:rsid w:val="080363AC"/>
    <w:rsid w:val="08133DF0"/>
    <w:rsid w:val="084E7FD2"/>
    <w:rsid w:val="08844E14"/>
    <w:rsid w:val="0892238B"/>
    <w:rsid w:val="08BA2ED3"/>
    <w:rsid w:val="08BC6D63"/>
    <w:rsid w:val="08E737D7"/>
    <w:rsid w:val="08FD08E8"/>
    <w:rsid w:val="09481D2F"/>
    <w:rsid w:val="095F4DCA"/>
    <w:rsid w:val="096920E5"/>
    <w:rsid w:val="09A9194C"/>
    <w:rsid w:val="09CE728C"/>
    <w:rsid w:val="0A241606"/>
    <w:rsid w:val="0A3E14B8"/>
    <w:rsid w:val="0A5F2E85"/>
    <w:rsid w:val="0AAA59EA"/>
    <w:rsid w:val="0AC11BFC"/>
    <w:rsid w:val="0AC6234F"/>
    <w:rsid w:val="0B30729F"/>
    <w:rsid w:val="0B6C284B"/>
    <w:rsid w:val="0BAD62EE"/>
    <w:rsid w:val="0BC861C5"/>
    <w:rsid w:val="0BD0773E"/>
    <w:rsid w:val="0BE12037"/>
    <w:rsid w:val="0BE4613B"/>
    <w:rsid w:val="0BE52F34"/>
    <w:rsid w:val="0C1D61C3"/>
    <w:rsid w:val="0C426551"/>
    <w:rsid w:val="0C5E33C9"/>
    <w:rsid w:val="0C88307C"/>
    <w:rsid w:val="0CDE69F2"/>
    <w:rsid w:val="0D363739"/>
    <w:rsid w:val="0D4F295A"/>
    <w:rsid w:val="0D5A7286"/>
    <w:rsid w:val="0DBC2976"/>
    <w:rsid w:val="0DC36668"/>
    <w:rsid w:val="0DC93DAC"/>
    <w:rsid w:val="0DD60599"/>
    <w:rsid w:val="0E2B4529"/>
    <w:rsid w:val="0E5664CA"/>
    <w:rsid w:val="0E566ADE"/>
    <w:rsid w:val="0EC27122"/>
    <w:rsid w:val="0EC57C6C"/>
    <w:rsid w:val="0EFA5998"/>
    <w:rsid w:val="0F007221"/>
    <w:rsid w:val="0F3D465B"/>
    <w:rsid w:val="0F5D66B3"/>
    <w:rsid w:val="0FCF254B"/>
    <w:rsid w:val="0FDA0D4A"/>
    <w:rsid w:val="0FDB069C"/>
    <w:rsid w:val="103A3182"/>
    <w:rsid w:val="10871EFD"/>
    <w:rsid w:val="10B52A42"/>
    <w:rsid w:val="10B71693"/>
    <w:rsid w:val="10EE712A"/>
    <w:rsid w:val="1144284D"/>
    <w:rsid w:val="117A4B80"/>
    <w:rsid w:val="11852806"/>
    <w:rsid w:val="11991D12"/>
    <w:rsid w:val="119D332E"/>
    <w:rsid w:val="11B175B5"/>
    <w:rsid w:val="11B8670B"/>
    <w:rsid w:val="11EC7B35"/>
    <w:rsid w:val="12117FC3"/>
    <w:rsid w:val="125451CC"/>
    <w:rsid w:val="12CB6F57"/>
    <w:rsid w:val="12CD2F6C"/>
    <w:rsid w:val="12D45985"/>
    <w:rsid w:val="130E7E6C"/>
    <w:rsid w:val="13103CCB"/>
    <w:rsid w:val="13206841"/>
    <w:rsid w:val="1332039A"/>
    <w:rsid w:val="13321054"/>
    <w:rsid w:val="13500ABE"/>
    <w:rsid w:val="13723430"/>
    <w:rsid w:val="137D7651"/>
    <w:rsid w:val="137F0717"/>
    <w:rsid w:val="14157F7D"/>
    <w:rsid w:val="1426311D"/>
    <w:rsid w:val="143E1B0C"/>
    <w:rsid w:val="149E36CF"/>
    <w:rsid w:val="14A42BA4"/>
    <w:rsid w:val="14AC3F87"/>
    <w:rsid w:val="14CE7169"/>
    <w:rsid w:val="14F10A08"/>
    <w:rsid w:val="14FC75FD"/>
    <w:rsid w:val="150C18C2"/>
    <w:rsid w:val="15264C6A"/>
    <w:rsid w:val="157776A0"/>
    <w:rsid w:val="15EB3D3C"/>
    <w:rsid w:val="15FF5378"/>
    <w:rsid w:val="160C3CF7"/>
    <w:rsid w:val="16224F30"/>
    <w:rsid w:val="162574BF"/>
    <w:rsid w:val="1660675A"/>
    <w:rsid w:val="168C59F4"/>
    <w:rsid w:val="16B122AD"/>
    <w:rsid w:val="16E06F69"/>
    <w:rsid w:val="173368D9"/>
    <w:rsid w:val="178953B5"/>
    <w:rsid w:val="17B239FC"/>
    <w:rsid w:val="17BB1266"/>
    <w:rsid w:val="17BE672B"/>
    <w:rsid w:val="17CF2785"/>
    <w:rsid w:val="1822113A"/>
    <w:rsid w:val="1828219E"/>
    <w:rsid w:val="18613639"/>
    <w:rsid w:val="1862221E"/>
    <w:rsid w:val="186D6E94"/>
    <w:rsid w:val="186E2207"/>
    <w:rsid w:val="18B421BD"/>
    <w:rsid w:val="18B7501E"/>
    <w:rsid w:val="18C72B2E"/>
    <w:rsid w:val="18F75FB0"/>
    <w:rsid w:val="191E553B"/>
    <w:rsid w:val="19222F74"/>
    <w:rsid w:val="1969641B"/>
    <w:rsid w:val="19D10348"/>
    <w:rsid w:val="19D431D9"/>
    <w:rsid w:val="1A8E32DC"/>
    <w:rsid w:val="1AD81AC1"/>
    <w:rsid w:val="1B097C64"/>
    <w:rsid w:val="1B257F0B"/>
    <w:rsid w:val="1B631B13"/>
    <w:rsid w:val="1B65024E"/>
    <w:rsid w:val="1B910040"/>
    <w:rsid w:val="1BBD0FE8"/>
    <w:rsid w:val="1BE3481C"/>
    <w:rsid w:val="1BED1EB2"/>
    <w:rsid w:val="1C096880"/>
    <w:rsid w:val="1C5F1A7C"/>
    <w:rsid w:val="1C7A3BA2"/>
    <w:rsid w:val="1CA155F1"/>
    <w:rsid w:val="1CBB0E33"/>
    <w:rsid w:val="1CD761AC"/>
    <w:rsid w:val="1CD84F93"/>
    <w:rsid w:val="1D7D7008"/>
    <w:rsid w:val="1DA24BE2"/>
    <w:rsid w:val="1E181181"/>
    <w:rsid w:val="1E1845AA"/>
    <w:rsid w:val="1E31742A"/>
    <w:rsid w:val="1E5F69F5"/>
    <w:rsid w:val="1E6A2BED"/>
    <w:rsid w:val="1E7A6705"/>
    <w:rsid w:val="1EAF17D2"/>
    <w:rsid w:val="1ECC65D3"/>
    <w:rsid w:val="1ECF7322"/>
    <w:rsid w:val="1EEB73C1"/>
    <w:rsid w:val="1F8F4E11"/>
    <w:rsid w:val="1F911DD3"/>
    <w:rsid w:val="1FEC403D"/>
    <w:rsid w:val="20051B1F"/>
    <w:rsid w:val="202D6465"/>
    <w:rsid w:val="20397DD1"/>
    <w:rsid w:val="2064766D"/>
    <w:rsid w:val="207D5F28"/>
    <w:rsid w:val="21697FDC"/>
    <w:rsid w:val="21FB7D39"/>
    <w:rsid w:val="221E3E37"/>
    <w:rsid w:val="22241669"/>
    <w:rsid w:val="223977F4"/>
    <w:rsid w:val="227B2F69"/>
    <w:rsid w:val="22871D61"/>
    <w:rsid w:val="22B46DF3"/>
    <w:rsid w:val="22CF124F"/>
    <w:rsid w:val="231562BD"/>
    <w:rsid w:val="2330267E"/>
    <w:rsid w:val="23550D36"/>
    <w:rsid w:val="235B2DD6"/>
    <w:rsid w:val="235E6B22"/>
    <w:rsid w:val="237E019A"/>
    <w:rsid w:val="23BB7166"/>
    <w:rsid w:val="23CF7C22"/>
    <w:rsid w:val="23D0589D"/>
    <w:rsid w:val="23D97F7B"/>
    <w:rsid w:val="23E42FA5"/>
    <w:rsid w:val="23E666A7"/>
    <w:rsid w:val="241F3250"/>
    <w:rsid w:val="2425560C"/>
    <w:rsid w:val="243064D8"/>
    <w:rsid w:val="243F03DA"/>
    <w:rsid w:val="24541687"/>
    <w:rsid w:val="24693A9B"/>
    <w:rsid w:val="24E76415"/>
    <w:rsid w:val="251A20B6"/>
    <w:rsid w:val="2544474C"/>
    <w:rsid w:val="25BF4387"/>
    <w:rsid w:val="25C70FDF"/>
    <w:rsid w:val="25D75B12"/>
    <w:rsid w:val="25F571A7"/>
    <w:rsid w:val="26057E4F"/>
    <w:rsid w:val="2606763F"/>
    <w:rsid w:val="26102B24"/>
    <w:rsid w:val="26124C30"/>
    <w:rsid w:val="261C1946"/>
    <w:rsid w:val="262C123F"/>
    <w:rsid w:val="267F38E1"/>
    <w:rsid w:val="26831789"/>
    <w:rsid w:val="27094872"/>
    <w:rsid w:val="27303FF0"/>
    <w:rsid w:val="2768503C"/>
    <w:rsid w:val="27C127B9"/>
    <w:rsid w:val="27FC4800"/>
    <w:rsid w:val="28074108"/>
    <w:rsid w:val="28734758"/>
    <w:rsid w:val="289C7242"/>
    <w:rsid w:val="28A153A0"/>
    <w:rsid w:val="28D76B09"/>
    <w:rsid w:val="28E627F1"/>
    <w:rsid w:val="293B573A"/>
    <w:rsid w:val="295329B2"/>
    <w:rsid w:val="29B96CAE"/>
    <w:rsid w:val="29CE64CA"/>
    <w:rsid w:val="29CF3D86"/>
    <w:rsid w:val="29E5607F"/>
    <w:rsid w:val="2A4376AA"/>
    <w:rsid w:val="2A616123"/>
    <w:rsid w:val="2A8A724D"/>
    <w:rsid w:val="2A8D4ABA"/>
    <w:rsid w:val="2ABA69F4"/>
    <w:rsid w:val="2AC948C5"/>
    <w:rsid w:val="2B090A62"/>
    <w:rsid w:val="2B253773"/>
    <w:rsid w:val="2B5133C6"/>
    <w:rsid w:val="2B843FDC"/>
    <w:rsid w:val="2B99570B"/>
    <w:rsid w:val="2BA25D49"/>
    <w:rsid w:val="2BE03E82"/>
    <w:rsid w:val="2C5F1CA7"/>
    <w:rsid w:val="2C951A05"/>
    <w:rsid w:val="2CC162E7"/>
    <w:rsid w:val="2D07761B"/>
    <w:rsid w:val="2D1233EE"/>
    <w:rsid w:val="2DB61BBB"/>
    <w:rsid w:val="2DB94CE9"/>
    <w:rsid w:val="2DCA514F"/>
    <w:rsid w:val="2DCF11FB"/>
    <w:rsid w:val="2DFF17BA"/>
    <w:rsid w:val="2E0774F3"/>
    <w:rsid w:val="2E955CE7"/>
    <w:rsid w:val="2EF11B2B"/>
    <w:rsid w:val="2F2335A5"/>
    <w:rsid w:val="2FAE562A"/>
    <w:rsid w:val="2FBC38FA"/>
    <w:rsid w:val="2FE12EDC"/>
    <w:rsid w:val="302F401F"/>
    <w:rsid w:val="30327F2A"/>
    <w:rsid w:val="30854A30"/>
    <w:rsid w:val="30BD3F73"/>
    <w:rsid w:val="30CD31A8"/>
    <w:rsid w:val="30DB421A"/>
    <w:rsid w:val="30DF492F"/>
    <w:rsid w:val="30F85C59"/>
    <w:rsid w:val="312070DD"/>
    <w:rsid w:val="3128518D"/>
    <w:rsid w:val="312F3DC0"/>
    <w:rsid w:val="3140416D"/>
    <w:rsid w:val="315F0BB9"/>
    <w:rsid w:val="318C67B0"/>
    <w:rsid w:val="319739A8"/>
    <w:rsid w:val="31D42426"/>
    <w:rsid w:val="31E40694"/>
    <w:rsid w:val="31F41F7E"/>
    <w:rsid w:val="31F5386F"/>
    <w:rsid w:val="321E617B"/>
    <w:rsid w:val="32724BF8"/>
    <w:rsid w:val="32BF1D36"/>
    <w:rsid w:val="331E4B17"/>
    <w:rsid w:val="332C1726"/>
    <w:rsid w:val="33BC5261"/>
    <w:rsid w:val="341A0C4B"/>
    <w:rsid w:val="34203F0C"/>
    <w:rsid w:val="343A228F"/>
    <w:rsid w:val="34B4306B"/>
    <w:rsid w:val="35187914"/>
    <w:rsid w:val="353648E1"/>
    <w:rsid w:val="354754F3"/>
    <w:rsid w:val="357D0C3F"/>
    <w:rsid w:val="358A0327"/>
    <w:rsid w:val="3599272E"/>
    <w:rsid w:val="35B82265"/>
    <w:rsid w:val="35ED49BF"/>
    <w:rsid w:val="35EF72F4"/>
    <w:rsid w:val="361031C3"/>
    <w:rsid w:val="361161DD"/>
    <w:rsid w:val="362C5828"/>
    <w:rsid w:val="36380593"/>
    <w:rsid w:val="36664449"/>
    <w:rsid w:val="36C14E3C"/>
    <w:rsid w:val="36F8590E"/>
    <w:rsid w:val="372859FA"/>
    <w:rsid w:val="37491EAA"/>
    <w:rsid w:val="378131AE"/>
    <w:rsid w:val="37887CD4"/>
    <w:rsid w:val="379A4570"/>
    <w:rsid w:val="37B4442C"/>
    <w:rsid w:val="37C24B8B"/>
    <w:rsid w:val="37CE3124"/>
    <w:rsid w:val="37FD194D"/>
    <w:rsid w:val="380B56A0"/>
    <w:rsid w:val="38522CB3"/>
    <w:rsid w:val="385913FB"/>
    <w:rsid w:val="38626283"/>
    <w:rsid w:val="387B5544"/>
    <w:rsid w:val="38856C31"/>
    <w:rsid w:val="38A23ABB"/>
    <w:rsid w:val="39065861"/>
    <w:rsid w:val="3915225E"/>
    <w:rsid w:val="391A6421"/>
    <w:rsid w:val="392600A2"/>
    <w:rsid w:val="394526A9"/>
    <w:rsid w:val="39821530"/>
    <w:rsid w:val="39CE3A2E"/>
    <w:rsid w:val="39D7270C"/>
    <w:rsid w:val="3A6A1C6F"/>
    <w:rsid w:val="3A9A0F46"/>
    <w:rsid w:val="3B200947"/>
    <w:rsid w:val="3B402E40"/>
    <w:rsid w:val="3B67615E"/>
    <w:rsid w:val="3B99337C"/>
    <w:rsid w:val="3BD72D6F"/>
    <w:rsid w:val="3BF27CD9"/>
    <w:rsid w:val="3BF96718"/>
    <w:rsid w:val="3C3517CD"/>
    <w:rsid w:val="3C3F611B"/>
    <w:rsid w:val="3C6A11FE"/>
    <w:rsid w:val="3C8C3AE7"/>
    <w:rsid w:val="3CA50704"/>
    <w:rsid w:val="3CC47FBE"/>
    <w:rsid w:val="3CD2192F"/>
    <w:rsid w:val="3CDE3955"/>
    <w:rsid w:val="3CFF56B7"/>
    <w:rsid w:val="3DB005BB"/>
    <w:rsid w:val="3DB8555B"/>
    <w:rsid w:val="3DF231DE"/>
    <w:rsid w:val="3E8979BC"/>
    <w:rsid w:val="3E9F3A9D"/>
    <w:rsid w:val="3EBE6234"/>
    <w:rsid w:val="3EED415E"/>
    <w:rsid w:val="3F0535F0"/>
    <w:rsid w:val="3F0679F2"/>
    <w:rsid w:val="3F255515"/>
    <w:rsid w:val="3F535113"/>
    <w:rsid w:val="3F6A44E0"/>
    <w:rsid w:val="3FAB3A80"/>
    <w:rsid w:val="3FE909A5"/>
    <w:rsid w:val="3FF30E5B"/>
    <w:rsid w:val="40110568"/>
    <w:rsid w:val="402B0B23"/>
    <w:rsid w:val="402B44FE"/>
    <w:rsid w:val="40370BCF"/>
    <w:rsid w:val="40744F29"/>
    <w:rsid w:val="40E648D9"/>
    <w:rsid w:val="414824D9"/>
    <w:rsid w:val="414E1347"/>
    <w:rsid w:val="417E613B"/>
    <w:rsid w:val="41DC5120"/>
    <w:rsid w:val="41E63CED"/>
    <w:rsid w:val="41FD04A7"/>
    <w:rsid w:val="42120E54"/>
    <w:rsid w:val="421C13D3"/>
    <w:rsid w:val="42291F33"/>
    <w:rsid w:val="42344043"/>
    <w:rsid w:val="42620EC4"/>
    <w:rsid w:val="426858A3"/>
    <w:rsid w:val="42801CA8"/>
    <w:rsid w:val="428B7D69"/>
    <w:rsid w:val="429077F5"/>
    <w:rsid w:val="429E49F1"/>
    <w:rsid w:val="42A50854"/>
    <w:rsid w:val="42C31FC9"/>
    <w:rsid w:val="42F866A0"/>
    <w:rsid w:val="43271099"/>
    <w:rsid w:val="439164B4"/>
    <w:rsid w:val="43916741"/>
    <w:rsid w:val="43C06D9A"/>
    <w:rsid w:val="43CC1C31"/>
    <w:rsid w:val="43E327B0"/>
    <w:rsid w:val="442A1849"/>
    <w:rsid w:val="443C0D65"/>
    <w:rsid w:val="444A2640"/>
    <w:rsid w:val="44642214"/>
    <w:rsid w:val="44714835"/>
    <w:rsid w:val="44A30A74"/>
    <w:rsid w:val="452E2C8F"/>
    <w:rsid w:val="456A0B7C"/>
    <w:rsid w:val="456A627C"/>
    <w:rsid w:val="4588754F"/>
    <w:rsid w:val="45E01950"/>
    <w:rsid w:val="45ED44A8"/>
    <w:rsid w:val="463F7B10"/>
    <w:rsid w:val="46920A04"/>
    <w:rsid w:val="46A87C45"/>
    <w:rsid w:val="46E12B83"/>
    <w:rsid w:val="46EF5FD4"/>
    <w:rsid w:val="46FA4632"/>
    <w:rsid w:val="470764C4"/>
    <w:rsid w:val="471E0405"/>
    <w:rsid w:val="474A659D"/>
    <w:rsid w:val="476A33B0"/>
    <w:rsid w:val="47890E52"/>
    <w:rsid w:val="47AD56C8"/>
    <w:rsid w:val="47AD7FFB"/>
    <w:rsid w:val="47CD3EB5"/>
    <w:rsid w:val="47E409D9"/>
    <w:rsid w:val="47EF29AA"/>
    <w:rsid w:val="47F94B3E"/>
    <w:rsid w:val="482F7D8B"/>
    <w:rsid w:val="48634289"/>
    <w:rsid w:val="48903CD4"/>
    <w:rsid w:val="48A353BD"/>
    <w:rsid w:val="48C53FA2"/>
    <w:rsid w:val="4910126D"/>
    <w:rsid w:val="49150B44"/>
    <w:rsid w:val="491E430D"/>
    <w:rsid w:val="49422FB8"/>
    <w:rsid w:val="494E7F62"/>
    <w:rsid w:val="49526E40"/>
    <w:rsid w:val="497228B1"/>
    <w:rsid w:val="49B45423"/>
    <w:rsid w:val="4A1123E6"/>
    <w:rsid w:val="4A1E4200"/>
    <w:rsid w:val="4A2A32C5"/>
    <w:rsid w:val="4A2E49D8"/>
    <w:rsid w:val="4A595B5A"/>
    <w:rsid w:val="4AA24CE1"/>
    <w:rsid w:val="4AB04EA8"/>
    <w:rsid w:val="4AC4705A"/>
    <w:rsid w:val="4AC77452"/>
    <w:rsid w:val="4AFA629C"/>
    <w:rsid w:val="4AFF00F1"/>
    <w:rsid w:val="4B0F08EF"/>
    <w:rsid w:val="4B354F2C"/>
    <w:rsid w:val="4B466163"/>
    <w:rsid w:val="4BC61B97"/>
    <w:rsid w:val="4C195669"/>
    <w:rsid w:val="4C232B47"/>
    <w:rsid w:val="4C3C0DCE"/>
    <w:rsid w:val="4C491A13"/>
    <w:rsid w:val="4CAE347D"/>
    <w:rsid w:val="4CC26839"/>
    <w:rsid w:val="4CCD7291"/>
    <w:rsid w:val="4CD51B7E"/>
    <w:rsid w:val="4CDD0FD4"/>
    <w:rsid w:val="4D0D1C9B"/>
    <w:rsid w:val="4D0D4D4F"/>
    <w:rsid w:val="4D10735C"/>
    <w:rsid w:val="4D361C32"/>
    <w:rsid w:val="4D601AE2"/>
    <w:rsid w:val="4D7049C1"/>
    <w:rsid w:val="4DC06B14"/>
    <w:rsid w:val="4DD66A77"/>
    <w:rsid w:val="4E265986"/>
    <w:rsid w:val="4E2D13DE"/>
    <w:rsid w:val="4EA075C7"/>
    <w:rsid w:val="4EC75A30"/>
    <w:rsid w:val="4F041192"/>
    <w:rsid w:val="4F2316F5"/>
    <w:rsid w:val="4F2612FA"/>
    <w:rsid w:val="4F53258B"/>
    <w:rsid w:val="4F607E10"/>
    <w:rsid w:val="4F7D3435"/>
    <w:rsid w:val="4F884DF6"/>
    <w:rsid w:val="4F9344BA"/>
    <w:rsid w:val="4FE82896"/>
    <w:rsid w:val="50120C0E"/>
    <w:rsid w:val="501525FE"/>
    <w:rsid w:val="5030724C"/>
    <w:rsid w:val="507B7D17"/>
    <w:rsid w:val="507F5C7B"/>
    <w:rsid w:val="509217FC"/>
    <w:rsid w:val="50BF7656"/>
    <w:rsid w:val="51D81113"/>
    <w:rsid w:val="52035FBF"/>
    <w:rsid w:val="520514EF"/>
    <w:rsid w:val="521A4BC3"/>
    <w:rsid w:val="521A7322"/>
    <w:rsid w:val="525541DF"/>
    <w:rsid w:val="525C6B56"/>
    <w:rsid w:val="525D7591"/>
    <w:rsid w:val="525F6CEA"/>
    <w:rsid w:val="529C3971"/>
    <w:rsid w:val="52D2612E"/>
    <w:rsid w:val="52D92415"/>
    <w:rsid w:val="52DA264F"/>
    <w:rsid w:val="52EA5E88"/>
    <w:rsid w:val="533859AB"/>
    <w:rsid w:val="53451F10"/>
    <w:rsid w:val="53636062"/>
    <w:rsid w:val="536B31D0"/>
    <w:rsid w:val="537A71B1"/>
    <w:rsid w:val="538C5A01"/>
    <w:rsid w:val="53A30282"/>
    <w:rsid w:val="53AA66D8"/>
    <w:rsid w:val="53AF2682"/>
    <w:rsid w:val="54591DB9"/>
    <w:rsid w:val="546318B1"/>
    <w:rsid w:val="54BC3514"/>
    <w:rsid w:val="54D26053"/>
    <w:rsid w:val="54DB3F82"/>
    <w:rsid w:val="54EA5A53"/>
    <w:rsid w:val="54FF1896"/>
    <w:rsid w:val="55020795"/>
    <w:rsid w:val="551F0E89"/>
    <w:rsid w:val="55230874"/>
    <w:rsid w:val="555B0CBB"/>
    <w:rsid w:val="555D6E7C"/>
    <w:rsid w:val="557F6917"/>
    <w:rsid w:val="558A4A07"/>
    <w:rsid w:val="55DF7EC6"/>
    <w:rsid w:val="55E37849"/>
    <w:rsid w:val="563A3328"/>
    <w:rsid w:val="56591DFA"/>
    <w:rsid w:val="56A70CFA"/>
    <w:rsid w:val="56BD298E"/>
    <w:rsid w:val="56EB79D1"/>
    <w:rsid w:val="56FC483D"/>
    <w:rsid w:val="570A30B8"/>
    <w:rsid w:val="570A56B3"/>
    <w:rsid w:val="571A5F3D"/>
    <w:rsid w:val="57256A12"/>
    <w:rsid w:val="57415CC7"/>
    <w:rsid w:val="576C0F0A"/>
    <w:rsid w:val="57F3769F"/>
    <w:rsid w:val="581B08BF"/>
    <w:rsid w:val="58202815"/>
    <w:rsid w:val="58561447"/>
    <w:rsid w:val="585F39CD"/>
    <w:rsid w:val="58B1139E"/>
    <w:rsid w:val="58C75CC9"/>
    <w:rsid w:val="58D52AD2"/>
    <w:rsid w:val="58FA0EE9"/>
    <w:rsid w:val="58FA6E7D"/>
    <w:rsid w:val="59275AC4"/>
    <w:rsid w:val="59514B1D"/>
    <w:rsid w:val="595268D6"/>
    <w:rsid w:val="59C72AFC"/>
    <w:rsid w:val="59F024F9"/>
    <w:rsid w:val="5A05358F"/>
    <w:rsid w:val="5A261740"/>
    <w:rsid w:val="5A507279"/>
    <w:rsid w:val="5A7350A0"/>
    <w:rsid w:val="5A80428F"/>
    <w:rsid w:val="5A842F8E"/>
    <w:rsid w:val="5A9C4DC4"/>
    <w:rsid w:val="5ACD5CF2"/>
    <w:rsid w:val="5B277515"/>
    <w:rsid w:val="5B2D6F5A"/>
    <w:rsid w:val="5B331422"/>
    <w:rsid w:val="5B4B50AF"/>
    <w:rsid w:val="5B535431"/>
    <w:rsid w:val="5B667C4A"/>
    <w:rsid w:val="5B774EE9"/>
    <w:rsid w:val="5B79256B"/>
    <w:rsid w:val="5B94552E"/>
    <w:rsid w:val="5BB53149"/>
    <w:rsid w:val="5BC81A00"/>
    <w:rsid w:val="5BEE2621"/>
    <w:rsid w:val="5C132B42"/>
    <w:rsid w:val="5C8859C8"/>
    <w:rsid w:val="5C9F6CF4"/>
    <w:rsid w:val="5D0F033B"/>
    <w:rsid w:val="5D392385"/>
    <w:rsid w:val="5D6C5B56"/>
    <w:rsid w:val="5E260772"/>
    <w:rsid w:val="5EC874C9"/>
    <w:rsid w:val="5EF24DA2"/>
    <w:rsid w:val="5FED08DD"/>
    <w:rsid w:val="60040EF0"/>
    <w:rsid w:val="60227A9F"/>
    <w:rsid w:val="60264997"/>
    <w:rsid w:val="602C39A5"/>
    <w:rsid w:val="607559B3"/>
    <w:rsid w:val="60933E95"/>
    <w:rsid w:val="60AA27F8"/>
    <w:rsid w:val="60B04F57"/>
    <w:rsid w:val="60EC6862"/>
    <w:rsid w:val="60FC186D"/>
    <w:rsid w:val="611537F8"/>
    <w:rsid w:val="61204188"/>
    <w:rsid w:val="61261F0B"/>
    <w:rsid w:val="61AA11FA"/>
    <w:rsid w:val="61F52D7F"/>
    <w:rsid w:val="61FA41D1"/>
    <w:rsid w:val="620B044D"/>
    <w:rsid w:val="62493625"/>
    <w:rsid w:val="62550DDE"/>
    <w:rsid w:val="62931639"/>
    <w:rsid w:val="6296403D"/>
    <w:rsid w:val="62DB0153"/>
    <w:rsid w:val="62DC32EA"/>
    <w:rsid w:val="62F5666D"/>
    <w:rsid w:val="63273C7E"/>
    <w:rsid w:val="637B0492"/>
    <w:rsid w:val="637F58CF"/>
    <w:rsid w:val="63A73AF8"/>
    <w:rsid w:val="63B40048"/>
    <w:rsid w:val="63B66913"/>
    <w:rsid w:val="63BB10B1"/>
    <w:rsid w:val="63C73939"/>
    <w:rsid w:val="63CC2033"/>
    <w:rsid w:val="64777723"/>
    <w:rsid w:val="647C4CD7"/>
    <w:rsid w:val="64A24A5E"/>
    <w:rsid w:val="64BF3AD3"/>
    <w:rsid w:val="64C56CDB"/>
    <w:rsid w:val="650B1B8F"/>
    <w:rsid w:val="65291EA2"/>
    <w:rsid w:val="65332235"/>
    <w:rsid w:val="656A22B4"/>
    <w:rsid w:val="65B66D6A"/>
    <w:rsid w:val="65C457D9"/>
    <w:rsid w:val="65D1151D"/>
    <w:rsid w:val="65E85CA0"/>
    <w:rsid w:val="66245C93"/>
    <w:rsid w:val="66276EC7"/>
    <w:rsid w:val="664869A4"/>
    <w:rsid w:val="666D0A4F"/>
    <w:rsid w:val="66A713A5"/>
    <w:rsid w:val="66BC1FB3"/>
    <w:rsid w:val="67290615"/>
    <w:rsid w:val="6789726C"/>
    <w:rsid w:val="678C3A91"/>
    <w:rsid w:val="67AF3556"/>
    <w:rsid w:val="6814374C"/>
    <w:rsid w:val="68741416"/>
    <w:rsid w:val="687C2186"/>
    <w:rsid w:val="68A93106"/>
    <w:rsid w:val="68FC46E5"/>
    <w:rsid w:val="69013AB0"/>
    <w:rsid w:val="6938145A"/>
    <w:rsid w:val="693878B5"/>
    <w:rsid w:val="696F3BB1"/>
    <w:rsid w:val="699B0E75"/>
    <w:rsid w:val="69AA6710"/>
    <w:rsid w:val="69D676D8"/>
    <w:rsid w:val="69FD42DC"/>
    <w:rsid w:val="6AC34A89"/>
    <w:rsid w:val="6AD669AF"/>
    <w:rsid w:val="6AD7740C"/>
    <w:rsid w:val="6B320486"/>
    <w:rsid w:val="6B6A232F"/>
    <w:rsid w:val="6B7F4F64"/>
    <w:rsid w:val="6B985B49"/>
    <w:rsid w:val="6BA50A99"/>
    <w:rsid w:val="6BD95679"/>
    <w:rsid w:val="6BDA42B5"/>
    <w:rsid w:val="6BDF78AB"/>
    <w:rsid w:val="6C4E0156"/>
    <w:rsid w:val="6C7C344D"/>
    <w:rsid w:val="6C7E0B6F"/>
    <w:rsid w:val="6C8661B1"/>
    <w:rsid w:val="6CE74D46"/>
    <w:rsid w:val="6D041F93"/>
    <w:rsid w:val="6D2672A0"/>
    <w:rsid w:val="6D6B02CB"/>
    <w:rsid w:val="6D6F3A26"/>
    <w:rsid w:val="6D790DCD"/>
    <w:rsid w:val="6D842802"/>
    <w:rsid w:val="6D8B3926"/>
    <w:rsid w:val="6DA02079"/>
    <w:rsid w:val="6DCE5BAC"/>
    <w:rsid w:val="6DEE5592"/>
    <w:rsid w:val="6E454D44"/>
    <w:rsid w:val="6E6B6190"/>
    <w:rsid w:val="6EA27617"/>
    <w:rsid w:val="6EB72057"/>
    <w:rsid w:val="6EDE7D34"/>
    <w:rsid w:val="6F005996"/>
    <w:rsid w:val="6F193632"/>
    <w:rsid w:val="6F5127C3"/>
    <w:rsid w:val="6F5D4B2D"/>
    <w:rsid w:val="6F837261"/>
    <w:rsid w:val="6F8F7C68"/>
    <w:rsid w:val="6FA37FE2"/>
    <w:rsid w:val="6FD85F3C"/>
    <w:rsid w:val="6FF73949"/>
    <w:rsid w:val="7006746D"/>
    <w:rsid w:val="700D6553"/>
    <w:rsid w:val="70312A4D"/>
    <w:rsid w:val="70453864"/>
    <w:rsid w:val="709C7D80"/>
    <w:rsid w:val="70BB49F8"/>
    <w:rsid w:val="71172EDB"/>
    <w:rsid w:val="71732F69"/>
    <w:rsid w:val="71EC1891"/>
    <w:rsid w:val="71FF423E"/>
    <w:rsid w:val="72370BF8"/>
    <w:rsid w:val="72471359"/>
    <w:rsid w:val="726841BF"/>
    <w:rsid w:val="72A5169A"/>
    <w:rsid w:val="72B230B4"/>
    <w:rsid w:val="72B43986"/>
    <w:rsid w:val="72BE09AB"/>
    <w:rsid w:val="72ED06CD"/>
    <w:rsid w:val="72FC197A"/>
    <w:rsid w:val="733A2929"/>
    <w:rsid w:val="734A7553"/>
    <w:rsid w:val="73697607"/>
    <w:rsid w:val="739B1B1E"/>
    <w:rsid w:val="73C951B1"/>
    <w:rsid w:val="73F80048"/>
    <w:rsid w:val="740A3A03"/>
    <w:rsid w:val="74141BC1"/>
    <w:rsid w:val="743B1996"/>
    <w:rsid w:val="74AA1283"/>
    <w:rsid w:val="74B818E9"/>
    <w:rsid w:val="74B9382C"/>
    <w:rsid w:val="74C35169"/>
    <w:rsid w:val="74F913DC"/>
    <w:rsid w:val="74F96E45"/>
    <w:rsid w:val="75097F47"/>
    <w:rsid w:val="753024D4"/>
    <w:rsid w:val="75863077"/>
    <w:rsid w:val="759A2E0F"/>
    <w:rsid w:val="75A62213"/>
    <w:rsid w:val="75B2103A"/>
    <w:rsid w:val="75D06987"/>
    <w:rsid w:val="761E799F"/>
    <w:rsid w:val="763D5845"/>
    <w:rsid w:val="764C456C"/>
    <w:rsid w:val="765E3F41"/>
    <w:rsid w:val="7698671C"/>
    <w:rsid w:val="769B702C"/>
    <w:rsid w:val="76E445A8"/>
    <w:rsid w:val="772B7CE4"/>
    <w:rsid w:val="77633C12"/>
    <w:rsid w:val="77DD2260"/>
    <w:rsid w:val="77E3795C"/>
    <w:rsid w:val="78240EE1"/>
    <w:rsid w:val="786D7579"/>
    <w:rsid w:val="789C3C16"/>
    <w:rsid w:val="78AE1E2F"/>
    <w:rsid w:val="78B1649A"/>
    <w:rsid w:val="78D27CBB"/>
    <w:rsid w:val="79521F3A"/>
    <w:rsid w:val="79810D13"/>
    <w:rsid w:val="79A268B0"/>
    <w:rsid w:val="79A5213A"/>
    <w:rsid w:val="79B2381F"/>
    <w:rsid w:val="79B46776"/>
    <w:rsid w:val="79CC0A3B"/>
    <w:rsid w:val="7A242CAF"/>
    <w:rsid w:val="7AB87F9F"/>
    <w:rsid w:val="7B0A0B62"/>
    <w:rsid w:val="7B447FD7"/>
    <w:rsid w:val="7B686625"/>
    <w:rsid w:val="7B863055"/>
    <w:rsid w:val="7B8F506B"/>
    <w:rsid w:val="7BB05C23"/>
    <w:rsid w:val="7BB07A07"/>
    <w:rsid w:val="7BCA169A"/>
    <w:rsid w:val="7BE6362C"/>
    <w:rsid w:val="7C606F1E"/>
    <w:rsid w:val="7C8C29C6"/>
    <w:rsid w:val="7CDB76C4"/>
    <w:rsid w:val="7D035BF3"/>
    <w:rsid w:val="7D037A0B"/>
    <w:rsid w:val="7D2B2B21"/>
    <w:rsid w:val="7D315FAF"/>
    <w:rsid w:val="7D59288F"/>
    <w:rsid w:val="7DC55729"/>
    <w:rsid w:val="7E2046B4"/>
    <w:rsid w:val="7E481D67"/>
    <w:rsid w:val="7E8A5DE8"/>
    <w:rsid w:val="7F1A0E98"/>
    <w:rsid w:val="7F3815AA"/>
    <w:rsid w:val="7F4B6661"/>
    <w:rsid w:val="7F655AF3"/>
    <w:rsid w:val="7F7C4EC6"/>
    <w:rsid w:val="7F814AA2"/>
    <w:rsid w:val="7F9160B6"/>
    <w:rsid w:val="7F962B05"/>
    <w:rsid w:val="7FDA348D"/>
    <w:rsid w:val="7FDA3C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E0B0674"/>
  <w15:docId w15:val="{E75119FE-3B73-4DAF-99EB-0D391019FF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uiPriority="9" w:qFormat="1"/>
    <w:lsdException w:name="heading 2" w:unhideWhenUsed="1" w:qFormat="1"/>
    <w:lsdException w:name="heading 3" w:uiPriority="9" w:unhideWhenUsed="1" w:qFormat="1"/>
    <w:lsdException w:name="heading 4" w:uiPriority="9" w:unhideWhenUsed="1" w:qFormat="1"/>
    <w:lsdException w:name="heading 5" w:uiPriority="9" w:qFormat="1"/>
    <w:lsdException w:name="heading 6" w:uiPriority="9" w:unhideWhenUsed="1" w:qFormat="1"/>
    <w:lsdException w:name="heading 7" w:uiPriority="9" w:unhideWhenUsed="1" w:qFormat="1"/>
    <w:lsdException w:name="heading 8" w:uiPriority="9" w:unhideWhenUsed="1" w:qFormat="1"/>
    <w:lsdException w:name="heading 9" w:uiPriority="9" w:unhideWhenUsed="1" w:qFormat="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uiPriority="39" w:unhideWhenUsed="1" w:qFormat="1"/>
    <w:lsdException w:name="toc 9" w:uiPriority="39" w:unhideWhenUsed="1" w:qFormat="1"/>
    <w:lsdException w:name="Normal Indent" w:uiPriority="99" w:unhideWhenUsed="1" w:qFormat="1"/>
    <w:lsdException w:name="annotation text" w:uiPriority="99" w:qFormat="1"/>
    <w:lsdException w:name="header" w:qFormat="1"/>
    <w:lsdException w:name="footer" w:qFormat="1"/>
    <w:lsdException w:name="caption" w:semiHidden="1" w:unhideWhenUsed="1" w:qFormat="1"/>
    <w:lsdException w:name="annotation reference" w:uiPriority="99" w:unhideWhenUsed="1" w:qFormat="1"/>
    <w:lsdException w:name="page number" w:qFormat="1"/>
    <w:lsdException w:name="Title" w:qFormat="1"/>
    <w:lsdException w:name="Default Paragraph Font" w:semiHidden="1" w:uiPriority="1" w:unhideWhenUsed="1" w:qFormat="1"/>
    <w:lsdException w:name="Body Text" w:qFormat="1"/>
    <w:lsdException w:name="Body Text Indent" w:uiPriority="99" w:unhideWhenUsed="1" w:qFormat="1"/>
    <w:lsdException w:name="Subtitle" w:qFormat="1"/>
    <w:lsdException w:name="Date" w:uiPriority="99" w:unhideWhenUsed="1" w:qFormat="1"/>
    <w:lsdException w:name="Body Text First Indent 2" w:unhideWhenUsed="1" w:qFormat="1"/>
    <w:lsdException w:name="Hyperlink" w:uiPriority="99" w:qFormat="1"/>
    <w:lsdException w:name="Strong" w:qFormat="1"/>
    <w:lsdException w:name="Emphasis" w:qFormat="1"/>
    <w:lsdException w:name="Document Map" w:uiPriority="99" w:unhideWhenUsed="1" w:qFormat="1"/>
    <w:lsdException w:name="Plain Text" w:unhideWhenUsed="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annotation subject"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next w:val="2"/>
    <w:qFormat/>
    <w:pPr>
      <w:widowControl w:val="0"/>
      <w:jc w:val="both"/>
    </w:pPr>
    <w:rPr>
      <w:rFonts w:asciiTheme="minorHAnsi" w:eastAsiaTheme="minorEastAsia" w:hAnsiTheme="minorHAnsi" w:cstheme="minorBidi"/>
      <w:kern w:val="2"/>
      <w:sz w:val="21"/>
      <w:szCs w:val="24"/>
    </w:rPr>
  </w:style>
  <w:style w:type="paragraph" w:styleId="1">
    <w:name w:val="heading 1"/>
    <w:basedOn w:val="a0"/>
    <w:next w:val="a0"/>
    <w:link w:val="10"/>
    <w:uiPriority w:val="9"/>
    <w:qFormat/>
    <w:pPr>
      <w:keepNext/>
      <w:keepLines/>
      <w:spacing w:before="240" w:after="240" w:line="360" w:lineRule="auto"/>
      <w:outlineLvl w:val="0"/>
    </w:pPr>
    <w:rPr>
      <w:rFonts w:ascii="Calibri" w:eastAsia="仿宋" w:hAnsi="Calibri" w:cs="Times New Roman"/>
      <w:b/>
      <w:bCs/>
      <w:kern w:val="44"/>
      <w:sz w:val="28"/>
      <w:szCs w:val="44"/>
      <w:lang w:val="zh-CN"/>
    </w:rPr>
  </w:style>
  <w:style w:type="paragraph" w:styleId="20">
    <w:name w:val="heading 2"/>
    <w:basedOn w:val="a0"/>
    <w:next w:val="a0"/>
    <w:link w:val="21"/>
    <w:unhideWhenUsed/>
    <w:qFormat/>
    <w:pPr>
      <w:spacing w:beforeAutospacing="1" w:afterAutospacing="1"/>
      <w:jc w:val="left"/>
      <w:outlineLvl w:val="1"/>
    </w:pPr>
    <w:rPr>
      <w:rFonts w:ascii="宋体" w:eastAsia="宋体" w:hAnsi="宋体" w:cs="Times New Roman" w:hint="eastAsia"/>
      <w:b/>
      <w:kern w:val="0"/>
      <w:sz w:val="36"/>
      <w:szCs w:val="36"/>
    </w:rPr>
  </w:style>
  <w:style w:type="paragraph" w:styleId="3">
    <w:name w:val="heading 3"/>
    <w:basedOn w:val="a0"/>
    <w:next w:val="a0"/>
    <w:link w:val="30"/>
    <w:uiPriority w:val="9"/>
    <w:unhideWhenUsed/>
    <w:qFormat/>
    <w:pPr>
      <w:spacing w:beforeAutospacing="1" w:afterAutospacing="1"/>
      <w:jc w:val="left"/>
      <w:outlineLvl w:val="2"/>
    </w:pPr>
    <w:rPr>
      <w:rFonts w:ascii="宋体" w:eastAsia="宋体" w:hAnsi="宋体" w:cs="Times New Roman" w:hint="eastAsia"/>
      <w:b/>
      <w:kern w:val="0"/>
      <w:sz w:val="27"/>
      <w:szCs w:val="27"/>
    </w:rPr>
  </w:style>
  <w:style w:type="paragraph" w:styleId="4">
    <w:name w:val="heading 4"/>
    <w:basedOn w:val="5"/>
    <w:next w:val="a0"/>
    <w:link w:val="40"/>
    <w:uiPriority w:val="9"/>
    <w:unhideWhenUsed/>
    <w:qFormat/>
    <w:pPr>
      <w:spacing w:before="0" w:after="0" w:line="360" w:lineRule="auto"/>
      <w:ind w:left="0" w:firstLineChars="176" w:firstLine="424"/>
      <w:outlineLvl w:val="3"/>
    </w:pPr>
    <w:rPr>
      <w:sz w:val="24"/>
    </w:rPr>
  </w:style>
  <w:style w:type="paragraph" w:styleId="5">
    <w:name w:val="heading 5"/>
    <w:basedOn w:val="a0"/>
    <w:next w:val="a0"/>
    <w:link w:val="50"/>
    <w:uiPriority w:val="9"/>
    <w:qFormat/>
    <w:pPr>
      <w:keepNext/>
      <w:keepLines/>
      <w:spacing w:before="280" w:after="290" w:line="376" w:lineRule="auto"/>
      <w:ind w:left="568"/>
      <w:outlineLvl w:val="4"/>
    </w:pPr>
    <w:rPr>
      <w:rFonts w:ascii="Times New Roman" w:eastAsia="宋体" w:hAnsi="Times New Roman" w:cs="Times New Roman"/>
      <w:b/>
      <w:bCs/>
      <w:sz w:val="28"/>
      <w:szCs w:val="28"/>
      <w:lang w:val="zh-CN"/>
    </w:rPr>
  </w:style>
  <w:style w:type="paragraph" w:styleId="6">
    <w:name w:val="heading 6"/>
    <w:basedOn w:val="a0"/>
    <w:next w:val="a0"/>
    <w:link w:val="60"/>
    <w:uiPriority w:val="9"/>
    <w:unhideWhenUsed/>
    <w:qFormat/>
    <w:pPr>
      <w:keepNext/>
      <w:keepLines/>
      <w:adjustRightInd w:val="0"/>
      <w:spacing w:line="360" w:lineRule="auto"/>
      <w:outlineLvl w:val="5"/>
    </w:pPr>
    <w:rPr>
      <w:rFonts w:ascii="Times New Roman" w:eastAsia="宋体" w:hAnsi="Times New Roman" w:cs="Times New Roman"/>
      <w:b/>
      <w:bCs/>
      <w:sz w:val="24"/>
      <w:lang w:val="zh-CN"/>
    </w:rPr>
  </w:style>
  <w:style w:type="paragraph" w:styleId="7">
    <w:name w:val="heading 7"/>
    <w:basedOn w:val="a0"/>
    <w:next w:val="a0"/>
    <w:link w:val="70"/>
    <w:uiPriority w:val="9"/>
    <w:unhideWhenUsed/>
    <w:qFormat/>
    <w:pPr>
      <w:keepNext/>
      <w:keepLines/>
      <w:adjustRightInd w:val="0"/>
      <w:spacing w:before="240" w:after="64" w:line="319" w:lineRule="auto"/>
      <w:outlineLvl w:val="6"/>
    </w:pPr>
    <w:rPr>
      <w:rFonts w:ascii="Times New Roman" w:eastAsia="宋体" w:hAnsi="Times New Roman" w:cs="Times New Roman"/>
      <w:b/>
      <w:bCs/>
      <w:sz w:val="24"/>
      <w:lang w:val="zh-CN"/>
    </w:rPr>
  </w:style>
  <w:style w:type="paragraph" w:styleId="8">
    <w:name w:val="heading 8"/>
    <w:basedOn w:val="a0"/>
    <w:next w:val="a0"/>
    <w:link w:val="80"/>
    <w:uiPriority w:val="9"/>
    <w:unhideWhenUsed/>
    <w:qFormat/>
    <w:pPr>
      <w:keepNext/>
      <w:keepLines/>
      <w:adjustRightInd w:val="0"/>
      <w:spacing w:before="240" w:after="64" w:line="320" w:lineRule="auto"/>
      <w:outlineLvl w:val="7"/>
    </w:pPr>
    <w:rPr>
      <w:rFonts w:ascii="Cambria" w:eastAsia="宋体" w:hAnsi="Cambria" w:cs="Times New Roman"/>
      <w:sz w:val="24"/>
      <w:lang w:val="zh-CN"/>
    </w:rPr>
  </w:style>
  <w:style w:type="paragraph" w:styleId="9">
    <w:name w:val="heading 9"/>
    <w:basedOn w:val="a0"/>
    <w:next w:val="a0"/>
    <w:link w:val="90"/>
    <w:uiPriority w:val="9"/>
    <w:unhideWhenUsed/>
    <w:qFormat/>
    <w:pPr>
      <w:keepNext/>
      <w:keepLines/>
      <w:adjustRightInd w:val="0"/>
      <w:spacing w:before="240" w:after="64" w:line="320" w:lineRule="auto"/>
      <w:outlineLvl w:val="8"/>
    </w:pPr>
    <w:rPr>
      <w:rFonts w:ascii="Cambria" w:eastAsia="宋体" w:hAnsi="Cambria" w:cs="Times New Roman"/>
      <w:sz w:val="24"/>
      <w:szCs w:val="21"/>
      <w:lang w:val="zh-CN"/>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Body Text First Indent 2"/>
    <w:basedOn w:val="a4"/>
    <w:unhideWhenUsed/>
    <w:qFormat/>
    <w:pPr>
      <w:ind w:firstLineChars="200" w:firstLine="420"/>
    </w:pPr>
  </w:style>
  <w:style w:type="paragraph" w:styleId="a4">
    <w:name w:val="Body Text Indent"/>
    <w:basedOn w:val="a0"/>
    <w:next w:val="a5"/>
    <w:uiPriority w:val="99"/>
    <w:unhideWhenUsed/>
    <w:qFormat/>
    <w:pPr>
      <w:spacing w:after="120"/>
      <w:ind w:leftChars="200" w:left="420"/>
    </w:pPr>
  </w:style>
  <w:style w:type="paragraph" w:styleId="a5">
    <w:name w:val="Normal Indent"/>
    <w:basedOn w:val="a0"/>
    <w:uiPriority w:val="99"/>
    <w:unhideWhenUsed/>
    <w:qFormat/>
    <w:pPr>
      <w:ind w:firstLineChars="200" w:firstLine="420"/>
    </w:pPr>
  </w:style>
  <w:style w:type="paragraph" w:styleId="71">
    <w:name w:val="toc 7"/>
    <w:basedOn w:val="a0"/>
    <w:next w:val="a0"/>
    <w:uiPriority w:val="39"/>
    <w:unhideWhenUsed/>
    <w:qFormat/>
    <w:pPr>
      <w:ind w:leftChars="1200" w:left="2520"/>
    </w:pPr>
    <w:rPr>
      <w:rFonts w:ascii="Calibri" w:eastAsia="宋体" w:hAnsi="Calibri" w:cs="Times New Roman"/>
      <w:szCs w:val="22"/>
    </w:rPr>
  </w:style>
  <w:style w:type="paragraph" w:styleId="a6">
    <w:name w:val="Document Map"/>
    <w:basedOn w:val="a0"/>
    <w:link w:val="a7"/>
    <w:uiPriority w:val="99"/>
    <w:unhideWhenUsed/>
    <w:qFormat/>
    <w:pPr>
      <w:spacing w:line="360" w:lineRule="auto"/>
      <w:ind w:firstLineChars="200" w:firstLine="200"/>
    </w:pPr>
    <w:rPr>
      <w:rFonts w:ascii="宋体" w:eastAsia="宋体" w:hAnsi="Calibri" w:cs="Times New Roman"/>
      <w:kern w:val="0"/>
      <w:sz w:val="18"/>
      <w:szCs w:val="18"/>
      <w:lang w:val="zh-CN"/>
    </w:rPr>
  </w:style>
  <w:style w:type="paragraph" w:styleId="a8">
    <w:name w:val="annotation text"/>
    <w:basedOn w:val="a0"/>
    <w:link w:val="a9"/>
    <w:uiPriority w:val="99"/>
    <w:qFormat/>
    <w:pPr>
      <w:jc w:val="left"/>
    </w:pPr>
  </w:style>
  <w:style w:type="paragraph" w:styleId="aa">
    <w:name w:val="Body Text"/>
    <w:basedOn w:val="a0"/>
    <w:link w:val="ab"/>
    <w:qFormat/>
    <w:pPr>
      <w:spacing w:line="620" w:lineRule="exact"/>
    </w:pPr>
    <w:rPr>
      <w:rFonts w:ascii="Times New Roman" w:eastAsia="仿宋_GB2312" w:hAnsi="Times New Roman" w:cs="Times New Roman"/>
      <w:kern w:val="0"/>
      <w:sz w:val="28"/>
      <w:lang w:val="zh-CN"/>
    </w:rPr>
  </w:style>
  <w:style w:type="paragraph" w:styleId="51">
    <w:name w:val="toc 5"/>
    <w:basedOn w:val="a0"/>
    <w:next w:val="a0"/>
    <w:uiPriority w:val="39"/>
    <w:unhideWhenUsed/>
    <w:qFormat/>
    <w:pPr>
      <w:ind w:leftChars="800" w:left="1680"/>
    </w:pPr>
    <w:rPr>
      <w:rFonts w:ascii="Calibri" w:eastAsia="宋体" w:hAnsi="Calibri" w:cs="Times New Roman"/>
      <w:szCs w:val="22"/>
    </w:rPr>
  </w:style>
  <w:style w:type="paragraph" w:styleId="31">
    <w:name w:val="toc 3"/>
    <w:basedOn w:val="a0"/>
    <w:next w:val="a0"/>
    <w:uiPriority w:val="39"/>
    <w:unhideWhenUsed/>
    <w:qFormat/>
    <w:pPr>
      <w:spacing w:line="360" w:lineRule="auto"/>
      <w:ind w:leftChars="400" w:left="840" w:firstLineChars="200" w:firstLine="200"/>
    </w:pPr>
    <w:rPr>
      <w:rFonts w:ascii="Times New Roman" w:eastAsia="宋体" w:hAnsi="Times New Roman" w:cs="Times New Roman"/>
      <w:sz w:val="24"/>
      <w:szCs w:val="22"/>
    </w:rPr>
  </w:style>
  <w:style w:type="paragraph" w:styleId="ac">
    <w:name w:val="Plain Text"/>
    <w:basedOn w:val="a0"/>
    <w:link w:val="ad"/>
    <w:unhideWhenUsed/>
    <w:qFormat/>
    <w:rPr>
      <w:rFonts w:ascii="宋体" w:eastAsia="宋体" w:hAnsi="Courier New" w:cs="Times New Roman"/>
      <w:kern w:val="0"/>
      <w:szCs w:val="20"/>
    </w:rPr>
  </w:style>
  <w:style w:type="paragraph" w:styleId="81">
    <w:name w:val="toc 8"/>
    <w:basedOn w:val="a0"/>
    <w:next w:val="a0"/>
    <w:uiPriority w:val="39"/>
    <w:unhideWhenUsed/>
    <w:qFormat/>
    <w:pPr>
      <w:ind w:leftChars="1400" w:left="2940"/>
    </w:pPr>
    <w:rPr>
      <w:rFonts w:ascii="Calibri" w:eastAsia="宋体" w:hAnsi="Calibri" w:cs="Times New Roman"/>
      <w:szCs w:val="22"/>
    </w:rPr>
  </w:style>
  <w:style w:type="paragraph" w:styleId="ae">
    <w:name w:val="Date"/>
    <w:basedOn w:val="a0"/>
    <w:next w:val="a0"/>
    <w:link w:val="af"/>
    <w:uiPriority w:val="99"/>
    <w:unhideWhenUsed/>
    <w:qFormat/>
    <w:pPr>
      <w:spacing w:line="360" w:lineRule="auto"/>
      <w:ind w:leftChars="2500" w:left="100" w:firstLineChars="200" w:firstLine="200"/>
    </w:pPr>
    <w:rPr>
      <w:rFonts w:ascii="Times New Roman" w:eastAsia="宋体" w:hAnsi="Times New Roman" w:cs="Times New Roman"/>
      <w:sz w:val="24"/>
      <w:szCs w:val="22"/>
    </w:rPr>
  </w:style>
  <w:style w:type="paragraph" w:styleId="af0">
    <w:name w:val="Balloon Text"/>
    <w:basedOn w:val="a0"/>
    <w:link w:val="af1"/>
    <w:qFormat/>
    <w:rPr>
      <w:sz w:val="18"/>
      <w:szCs w:val="18"/>
    </w:rPr>
  </w:style>
  <w:style w:type="paragraph" w:styleId="af2">
    <w:name w:val="footer"/>
    <w:basedOn w:val="a0"/>
    <w:link w:val="af3"/>
    <w:qFormat/>
    <w:pPr>
      <w:tabs>
        <w:tab w:val="center" w:pos="4153"/>
        <w:tab w:val="right" w:pos="8306"/>
      </w:tabs>
      <w:snapToGrid w:val="0"/>
      <w:jc w:val="left"/>
    </w:pPr>
    <w:rPr>
      <w:sz w:val="18"/>
      <w:szCs w:val="18"/>
    </w:rPr>
  </w:style>
  <w:style w:type="paragraph" w:styleId="af4">
    <w:name w:val="header"/>
    <w:basedOn w:val="a0"/>
    <w:link w:val="af5"/>
    <w:qFormat/>
    <w:pPr>
      <w:pBdr>
        <w:bottom w:val="single" w:sz="6" w:space="1" w:color="auto"/>
      </w:pBdr>
      <w:tabs>
        <w:tab w:val="center" w:pos="4153"/>
        <w:tab w:val="right" w:pos="8306"/>
      </w:tabs>
      <w:snapToGrid w:val="0"/>
      <w:jc w:val="center"/>
    </w:pPr>
    <w:rPr>
      <w:sz w:val="18"/>
      <w:szCs w:val="18"/>
    </w:rPr>
  </w:style>
  <w:style w:type="paragraph" w:styleId="11">
    <w:name w:val="toc 1"/>
    <w:basedOn w:val="a0"/>
    <w:next w:val="a0"/>
    <w:uiPriority w:val="39"/>
    <w:unhideWhenUsed/>
    <w:qFormat/>
    <w:pPr>
      <w:tabs>
        <w:tab w:val="left" w:pos="810"/>
        <w:tab w:val="right" w:leader="dot" w:pos="8296"/>
      </w:tabs>
      <w:spacing w:line="360" w:lineRule="auto"/>
      <w:jc w:val="left"/>
    </w:pPr>
    <w:rPr>
      <w:rFonts w:ascii="Times New Roman" w:eastAsia="宋体" w:hAnsi="Times New Roman" w:cs="Times New Roman"/>
      <w:sz w:val="24"/>
      <w:szCs w:val="22"/>
    </w:rPr>
  </w:style>
  <w:style w:type="paragraph" w:styleId="41">
    <w:name w:val="toc 4"/>
    <w:basedOn w:val="a0"/>
    <w:next w:val="a0"/>
    <w:uiPriority w:val="39"/>
    <w:unhideWhenUsed/>
    <w:qFormat/>
    <w:pPr>
      <w:ind w:leftChars="600" w:left="1260"/>
    </w:pPr>
    <w:rPr>
      <w:rFonts w:ascii="Calibri" w:eastAsia="宋体" w:hAnsi="Calibri" w:cs="Times New Roman"/>
      <w:szCs w:val="22"/>
    </w:rPr>
  </w:style>
  <w:style w:type="paragraph" w:styleId="61">
    <w:name w:val="toc 6"/>
    <w:basedOn w:val="a0"/>
    <w:next w:val="a0"/>
    <w:uiPriority w:val="39"/>
    <w:unhideWhenUsed/>
    <w:qFormat/>
    <w:pPr>
      <w:ind w:leftChars="1000" w:left="2100"/>
    </w:pPr>
    <w:rPr>
      <w:rFonts w:ascii="Calibri" w:eastAsia="宋体" w:hAnsi="Calibri" w:cs="Times New Roman"/>
      <w:szCs w:val="22"/>
    </w:rPr>
  </w:style>
  <w:style w:type="paragraph" w:styleId="22">
    <w:name w:val="toc 2"/>
    <w:basedOn w:val="a0"/>
    <w:next w:val="a0"/>
    <w:uiPriority w:val="39"/>
    <w:unhideWhenUsed/>
    <w:qFormat/>
    <w:pPr>
      <w:tabs>
        <w:tab w:val="right" w:leader="dot" w:pos="8296"/>
      </w:tabs>
      <w:spacing w:line="360" w:lineRule="auto"/>
      <w:ind w:firstLineChars="235" w:firstLine="564"/>
    </w:pPr>
    <w:rPr>
      <w:rFonts w:ascii="Times New Roman" w:eastAsia="宋体" w:hAnsi="Times New Roman" w:cs="Times New Roman"/>
      <w:sz w:val="24"/>
      <w:szCs w:val="22"/>
    </w:rPr>
  </w:style>
  <w:style w:type="paragraph" w:styleId="91">
    <w:name w:val="toc 9"/>
    <w:basedOn w:val="a0"/>
    <w:next w:val="a0"/>
    <w:uiPriority w:val="39"/>
    <w:unhideWhenUsed/>
    <w:qFormat/>
    <w:pPr>
      <w:ind w:leftChars="1600" w:left="3360"/>
    </w:pPr>
    <w:rPr>
      <w:rFonts w:ascii="Calibri" w:eastAsia="宋体" w:hAnsi="Calibri" w:cs="Times New Roman"/>
      <w:szCs w:val="22"/>
    </w:rPr>
  </w:style>
  <w:style w:type="paragraph" w:styleId="af6">
    <w:name w:val="Normal (Web)"/>
    <w:basedOn w:val="a0"/>
    <w:qFormat/>
    <w:pPr>
      <w:spacing w:beforeAutospacing="1" w:afterAutospacing="1"/>
      <w:jc w:val="left"/>
    </w:pPr>
    <w:rPr>
      <w:rFonts w:cs="Times New Roman"/>
      <w:kern w:val="0"/>
      <w:sz w:val="24"/>
    </w:rPr>
  </w:style>
  <w:style w:type="paragraph" w:styleId="af7">
    <w:name w:val="annotation subject"/>
    <w:basedOn w:val="a8"/>
    <w:next w:val="a8"/>
    <w:link w:val="af8"/>
    <w:uiPriority w:val="99"/>
    <w:unhideWhenUsed/>
    <w:qFormat/>
    <w:pPr>
      <w:spacing w:line="360" w:lineRule="auto"/>
      <w:ind w:firstLineChars="200" w:firstLine="200"/>
    </w:pPr>
    <w:rPr>
      <w:rFonts w:ascii="Times New Roman" w:eastAsia="宋体" w:hAnsi="Times New Roman" w:cs="Times New Roman"/>
      <w:b/>
      <w:bCs/>
      <w:sz w:val="24"/>
      <w:szCs w:val="22"/>
      <w:lang w:val="zh-CN"/>
    </w:rPr>
  </w:style>
  <w:style w:type="table" w:styleId="af9">
    <w:name w:val="Table Grid"/>
    <w:basedOn w:val="a2"/>
    <w:qFormat/>
    <w:rPr>
      <w:rFonts w:ascii="Calibri" w:hAnsi="Calibri"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Strong"/>
    <w:qFormat/>
    <w:rPr>
      <w:b/>
      <w:bCs/>
    </w:rPr>
  </w:style>
  <w:style w:type="character" w:styleId="afb">
    <w:name w:val="page number"/>
    <w:qFormat/>
  </w:style>
  <w:style w:type="character" w:styleId="afc">
    <w:name w:val="Hyperlink"/>
    <w:basedOn w:val="a1"/>
    <w:uiPriority w:val="99"/>
    <w:qFormat/>
    <w:rPr>
      <w:color w:val="0000FF"/>
      <w:u w:val="single"/>
    </w:rPr>
  </w:style>
  <w:style w:type="character" w:styleId="afd">
    <w:name w:val="annotation reference"/>
    <w:uiPriority w:val="99"/>
    <w:unhideWhenUsed/>
    <w:qFormat/>
    <w:rPr>
      <w:sz w:val="21"/>
      <w:szCs w:val="21"/>
    </w:rPr>
  </w:style>
  <w:style w:type="paragraph" w:customStyle="1" w:styleId="Default">
    <w:name w:val="Default"/>
    <w:uiPriority w:val="99"/>
    <w:qFormat/>
    <w:pPr>
      <w:widowControl w:val="0"/>
      <w:autoSpaceDE w:val="0"/>
      <w:autoSpaceDN w:val="0"/>
      <w:adjustRightInd w:val="0"/>
    </w:pPr>
    <w:rPr>
      <w:rFonts w:ascii="方正小标宋_GBK" w:eastAsia="方正小标宋_GBK" w:hAnsi="方正小标宋_GBK" w:hint="eastAsia"/>
      <w:color w:val="000000"/>
      <w:sz w:val="24"/>
    </w:rPr>
  </w:style>
  <w:style w:type="paragraph" w:customStyle="1" w:styleId="TOC1">
    <w:name w:val="TOC 标题1"/>
    <w:basedOn w:val="1"/>
    <w:next w:val="a0"/>
    <w:uiPriority w:val="39"/>
    <w:unhideWhenUsed/>
    <w:qFormat/>
    <w:pPr>
      <w:widowControl/>
      <w:spacing w:before="480" w:after="0" w:line="276" w:lineRule="auto"/>
      <w:jc w:val="left"/>
      <w:outlineLvl w:val="9"/>
    </w:pPr>
    <w:rPr>
      <w:rFonts w:ascii="Cambria" w:eastAsia="宋体" w:hAnsi="Cambria"/>
      <w:color w:val="365F91"/>
      <w:kern w:val="0"/>
      <w:szCs w:val="28"/>
    </w:rPr>
  </w:style>
  <w:style w:type="paragraph" w:customStyle="1" w:styleId="afe">
    <w:name w:val="一级无"/>
    <w:basedOn w:val="a"/>
    <w:qFormat/>
    <w:pPr>
      <w:spacing w:beforeLines="0" w:before="0" w:afterLines="0" w:after="0"/>
    </w:pPr>
    <w:rPr>
      <w:rFonts w:ascii="宋体" w:eastAsia="宋体"/>
    </w:rPr>
  </w:style>
  <w:style w:type="paragraph" w:customStyle="1" w:styleId="a">
    <w:name w:val="一级条标题"/>
    <w:next w:val="a0"/>
    <w:qFormat/>
    <w:pPr>
      <w:numPr>
        <w:ilvl w:val="1"/>
        <w:numId w:val="1"/>
      </w:numPr>
      <w:spacing w:beforeLines="50" w:before="156" w:afterLines="50" w:after="156"/>
      <w:ind w:left="851"/>
      <w:outlineLvl w:val="2"/>
    </w:pPr>
    <w:rPr>
      <w:rFonts w:ascii="黑体" w:eastAsia="黑体"/>
      <w:sz w:val="21"/>
      <w:szCs w:val="21"/>
    </w:rPr>
  </w:style>
  <w:style w:type="character" w:customStyle="1" w:styleId="40">
    <w:name w:val="标题 4 字符"/>
    <w:basedOn w:val="a1"/>
    <w:link w:val="4"/>
    <w:uiPriority w:val="9"/>
    <w:rPr>
      <w:b/>
      <w:bCs/>
      <w:kern w:val="2"/>
      <w:sz w:val="24"/>
      <w:szCs w:val="28"/>
      <w:lang w:val="zh-CN"/>
    </w:rPr>
  </w:style>
  <w:style w:type="character" w:customStyle="1" w:styleId="50">
    <w:name w:val="标题 5 字符"/>
    <w:basedOn w:val="a1"/>
    <w:link w:val="5"/>
    <w:uiPriority w:val="9"/>
    <w:qFormat/>
    <w:rPr>
      <w:b/>
      <w:bCs/>
      <w:kern w:val="2"/>
      <w:sz w:val="28"/>
      <w:szCs w:val="28"/>
      <w:lang w:val="zh-CN"/>
    </w:rPr>
  </w:style>
  <w:style w:type="character" w:customStyle="1" w:styleId="60">
    <w:name w:val="标题 6 字符"/>
    <w:basedOn w:val="a1"/>
    <w:link w:val="6"/>
    <w:uiPriority w:val="9"/>
    <w:rPr>
      <w:b/>
      <w:bCs/>
      <w:kern w:val="2"/>
      <w:sz w:val="24"/>
      <w:szCs w:val="24"/>
      <w:lang w:val="zh-CN"/>
    </w:rPr>
  </w:style>
  <w:style w:type="character" w:customStyle="1" w:styleId="70">
    <w:name w:val="标题 7 字符"/>
    <w:basedOn w:val="a1"/>
    <w:link w:val="7"/>
    <w:uiPriority w:val="9"/>
    <w:qFormat/>
    <w:rPr>
      <w:b/>
      <w:bCs/>
      <w:kern w:val="2"/>
      <w:sz w:val="24"/>
      <w:szCs w:val="24"/>
      <w:lang w:val="zh-CN"/>
    </w:rPr>
  </w:style>
  <w:style w:type="character" w:customStyle="1" w:styleId="80">
    <w:name w:val="标题 8 字符"/>
    <w:basedOn w:val="a1"/>
    <w:link w:val="8"/>
    <w:uiPriority w:val="9"/>
    <w:qFormat/>
    <w:rPr>
      <w:rFonts w:ascii="Cambria" w:hAnsi="Cambria"/>
      <w:kern w:val="2"/>
      <w:sz w:val="24"/>
      <w:szCs w:val="24"/>
      <w:lang w:val="zh-CN"/>
    </w:rPr>
  </w:style>
  <w:style w:type="character" w:customStyle="1" w:styleId="90">
    <w:name w:val="标题 9 字符"/>
    <w:basedOn w:val="a1"/>
    <w:link w:val="9"/>
    <w:uiPriority w:val="9"/>
    <w:qFormat/>
    <w:rPr>
      <w:rFonts w:ascii="Cambria" w:hAnsi="Cambria"/>
      <w:kern w:val="2"/>
      <w:sz w:val="24"/>
      <w:szCs w:val="21"/>
      <w:lang w:val="zh-CN"/>
    </w:rPr>
  </w:style>
  <w:style w:type="character" w:customStyle="1" w:styleId="a9">
    <w:name w:val="批注文字 字符"/>
    <w:basedOn w:val="a1"/>
    <w:link w:val="a8"/>
    <w:uiPriority w:val="99"/>
    <w:qFormat/>
    <w:rPr>
      <w:rFonts w:asciiTheme="minorHAnsi" w:eastAsiaTheme="minorEastAsia" w:hAnsiTheme="minorHAnsi" w:cstheme="minorBidi"/>
      <w:kern w:val="2"/>
      <w:sz w:val="21"/>
      <w:szCs w:val="24"/>
    </w:rPr>
  </w:style>
  <w:style w:type="character" w:customStyle="1" w:styleId="af8">
    <w:name w:val="批注主题 字符"/>
    <w:basedOn w:val="a9"/>
    <w:link w:val="af7"/>
    <w:uiPriority w:val="99"/>
    <w:rPr>
      <w:rFonts w:asciiTheme="minorHAnsi" w:eastAsiaTheme="minorEastAsia" w:hAnsiTheme="minorHAnsi" w:cstheme="minorBidi"/>
      <w:b/>
      <w:bCs/>
      <w:kern w:val="2"/>
      <w:sz w:val="24"/>
      <w:szCs w:val="22"/>
      <w:lang w:val="zh-CN"/>
    </w:rPr>
  </w:style>
  <w:style w:type="character" w:customStyle="1" w:styleId="a7">
    <w:name w:val="文档结构图 字符"/>
    <w:basedOn w:val="a1"/>
    <w:link w:val="a6"/>
    <w:uiPriority w:val="99"/>
    <w:qFormat/>
    <w:rPr>
      <w:rFonts w:ascii="宋体" w:hAnsi="Calibri"/>
      <w:sz w:val="18"/>
      <w:szCs w:val="18"/>
      <w:lang w:val="zh-CN"/>
    </w:rPr>
  </w:style>
  <w:style w:type="character" w:customStyle="1" w:styleId="ab">
    <w:name w:val="正文文本 字符"/>
    <w:basedOn w:val="a1"/>
    <w:link w:val="aa"/>
    <w:qFormat/>
    <w:rPr>
      <w:rFonts w:eastAsia="仿宋_GB2312"/>
      <w:sz w:val="28"/>
      <w:szCs w:val="24"/>
      <w:lang w:val="zh-CN"/>
    </w:rPr>
  </w:style>
  <w:style w:type="character" w:customStyle="1" w:styleId="ad">
    <w:name w:val="纯文本 字符"/>
    <w:basedOn w:val="a1"/>
    <w:link w:val="ac"/>
    <w:qFormat/>
    <w:rPr>
      <w:rFonts w:ascii="宋体" w:hAnsi="Courier New"/>
      <w:sz w:val="21"/>
    </w:rPr>
  </w:style>
  <w:style w:type="character" w:customStyle="1" w:styleId="af">
    <w:name w:val="日期 字符"/>
    <w:basedOn w:val="a1"/>
    <w:link w:val="ae"/>
    <w:uiPriority w:val="99"/>
    <w:qFormat/>
    <w:rPr>
      <w:kern w:val="2"/>
      <w:sz w:val="24"/>
      <w:szCs w:val="22"/>
    </w:rPr>
  </w:style>
  <w:style w:type="character" w:customStyle="1" w:styleId="af1">
    <w:name w:val="批注框文本 字符"/>
    <w:basedOn w:val="a1"/>
    <w:link w:val="af0"/>
    <w:qFormat/>
    <w:rPr>
      <w:rFonts w:asciiTheme="minorHAnsi" w:eastAsiaTheme="minorEastAsia" w:hAnsiTheme="minorHAnsi" w:cstheme="minorBidi"/>
      <w:kern w:val="2"/>
      <w:sz w:val="18"/>
      <w:szCs w:val="18"/>
    </w:rPr>
  </w:style>
  <w:style w:type="character" w:customStyle="1" w:styleId="af5">
    <w:name w:val="页眉 字符"/>
    <w:basedOn w:val="a1"/>
    <w:link w:val="af4"/>
    <w:qFormat/>
    <w:rPr>
      <w:rFonts w:asciiTheme="minorHAnsi" w:eastAsiaTheme="minorEastAsia" w:hAnsiTheme="minorHAnsi" w:cstheme="minorBidi"/>
      <w:kern w:val="2"/>
      <w:sz w:val="18"/>
      <w:szCs w:val="18"/>
    </w:rPr>
  </w:style>
  <w:style w:type="character" w:customStyle="1" w:styleId="af3">
    <w:name w:val="页脚 字符"/>
    <w:basedOn w:val="a1"/>
    <w:link w:val="af2"/>
    <w:qFormat/>
    <w:rPr>
      <w:rFonts w:asciiTheme="minorHAnsi" w:eastAsiaTheme="minorEastAsia" w:hAnsiTheme="minorHAnsi" w:cstheme="minorBidi"/>
      <w:kern w:val="2"/>
      <w:sz w:val="18"/>
      <w:szCs w:val="18"/>
    </w:rPr>
  </w:style>
  <w:style w:type="paragraph" w:customStyle="1" w:styleId="12">
    <w:name w:val="列出段落1"/>
    <w:basedOn w:val="a0"/>
    <w:uiPriority w:val="34"/>
    <w:unhideWhenUsed/>
    <w:qFormat/>
    <w:pPr>
      <w:ind w:firstLineChars="200" w:firstLine="420"/>
    </w:pPr>
  </w:style>
  <w:style w:type="paragraph" w:customStyle="1" w:styleId="Char">
    <w:name w:val="Char"/>
    <w:basedOn w:val="a0"/>
    <w:qFormat/>
    <w:pPr>
      <w:spacing w:line="500" w:lineRule="exact"/>
      <w:ind w:firstLineChars="200" w:firstLine="200"/>
    </w:pPr>
    <w:rPr>
      <w:rFonts w:ascii="宋体" w:eastAsia="宋体" w:hAnsi="宋体" w:cs="Times New Roman"/>
      <w:sz w:val="28"/>
      <w:szCs w:val="28"/>
    </w:rPr>
  </w:style>
  <w:style w:type="character" w:customStyle="1" w:styleId="Char0">
    <w:name w:val="内容 Char"/>
    <w:link w:val="aff"/>
    <w:qFormat/>
    <w:rPr>
      <w:rFonts w:ascii="仿宋_GB2312" w:eastAsia="仿宋_GB2312"/>
      <w:sz w:val="32"/>
      <w:szCs w:val="32"/>
    </w:rPr>
  </w:style>
  <w:style w:type="paragraph" w:customStyle="1" w:styleId="aff">
    <w:name w:val="内容"/>
    <w:basedOn w:val="a0"/>
    <w:link w:val="Char0"/>
    <w:qFormat/>
    <w:pPr>
      <w:spacing w:line="579" w:lineRule="exact"/>
      <w:ind w:firstLineChars="200" w:firstLine="640"/>
    </w:pPr>
    <w:rPr>
      <w:rFonts w:ascii="仿宋_GB2312" w:eastAsia="仿宋_GB2312" w:hAnsi="Times New Roman" w:cs="Times New Roman"/>
      <w:kern w:val="0"/>
      <w:sz w:val="32"/>
      <w:szCs w:val="32"/>
    </w:rPr>
  </w:style>
  <w:style w:type="character" w:customStyle="1" w:styleId="10">
    <w:name w:val="标题 1 字符"/>
    <w:basedOn w:val="a1"/>
    <w:link w:val="1"/>
    <w:uiPriority w:val="9"/>
    <w:qFormat/>
    <w:rPr>
      <w:rFonts w:ascii="Calibri" w:eastAsia="仿宋" w:hAnsi="Calibri"/>
      <w:b/>
      <w:bCs/>
      <w:kern w:val="44"/>
      <w:sz w:val="28"/>
      <w:szCs w:val="44"/>
      <w:lang w:val="zh-CN"/>
    </w:rPr>
  </w:style>
  <w:style w:type="character" w:customStyle="1" w:styleId="21">
    <w:name w:val="标题 2 字符"/>
    <w:link w:val="20"/>
    <w:rPr>
      <w:rFonts w:ascii="宋体" w:hAnsi="宋体"/>
      <w:b/>
      <w:sz w:val="36"/>
      <w:szCs w:val="36"/>
    </w:rPr>
  </w:style>
  <w:style w:type="paragraph" w:customStyle="1" w:styleId="23">
    <w:name w:val="列出段落2"/>
    <w:basedOn w:val="a0"/>
    <w:uiPriority w:val="99"/>
    <w:qFormat/>
    <w:pPr>
      <w:spacing w:line="360" w:lineRule="auto"/>
      <w:ind w:firstLineChars="200" w:firstLine="420"/>
    </w:pPr>
    <w:rPr>
      <w:rFonts w:ascii="Times New Roman" w:eastAsia="宋体" w:hAnsi="Times New Roman" w:cs="Times New Roman"/>
      <w:sz w:val="24"/>
      <w:szCs w:val="22"/>
    </w:rPr>
  </w:style>
  <w:style w:type="character" w:customStyle="1" w:styleId="editfontcolor">
    <w:name w:val="edit_font_color"/>
    <w:basedOn w:val="a1"/>
    <w:qFormat/>
  </w:style>
  <w:style w:type="character" w:customStyle="1" w:styleId="index">
    <w:name w:val="index"/>
    <w:basedOn w:val="a1"/>
    <w:qFormat/>
  </w:style>
  <w:style w:type="character" w:customStyle="1" w:styleId="apple-converted-space">
    <w:name w:val="apple-converted-space"/>
    <w:basedOn w:val="a1"/>
    <w:qFormat/>
  </w:style>
  <w:style w:type="character" w:customStyle="1" w:styleId="text">
    <w:name w:val="text"/>
    <w:basedOn w:val="a1"/>
    <w:qFormat/>
  </w:style>
  <w:style w:type="paragraph" w:customStyle="1" w:styleId="p0">
    <w:name w:val="p0"/>
    <w:basedOn w:val="a0"/>
    <w:qFormat/>
    <w:pPr>
      <w:widowControl/>
      <w:spacing w:before="100" w:beforeAutospacing="1" w:after="100" w:afterAutospacing="1"/>
      <w:jc w:val="left"/>
    </w:pPr>
    <w:rPr>
      <w:rFonts w:ascii="宋体" w:eastAsia="宋体" w:hAnsi="宋体" w:cs="宋体"/>
      <w:kern w:val="0"/>
      <w:sz w:val="24"/>
    </w:rPr>
  </w:style>
  <w:style w:type="character" w:customStyle="1" w:styleId="30">
    <w:name w:val="标题 3 字符"/>
    <w:link w:val="3"/>
    <w:uiPriority w:val="9"/>
    <w:qFormat/>
    <w:rPr>
      <w:rFonts w:ascii="宋体" w:hAnsi="宋体"/>
      <w:b/>
      <w:sz w:val="27"/>
      <w:szCs w:val="27"/>
    </w:rPr>
  </w:style>
  <w:style w:type="character" w:customStyle="1" w:styleId="13">
    <w:name w:val="标题1"/>
    <w:qFormat/>
  </w:style>
  <w:style w:type="paragraph" w:customStyle="1" w:styleId="reader-word-layer">
    <w:name w:val="reader-word-layer"/>
    <w:basedOn w:val="a0"/>
    <w:qFormat/>
    <w:pPr>
      <w:widowControl/>
      <w:spacing w:before="100" w:beforeAutospacing="1" w:after="100" w:afterAutospacing="1"/>
      <w:jc w:val="left"/>
    </w:pPr>
    <w:rPr>
      <w:rFonts w:ascii="宋体" w:eastAsia="宋体" w:hAnsi="宋体" w:cs="宋体"/>
      <w:kern w:val="0"/>
      <w:sz w:val="24"/>
    </w:rPr>
  </w:style>
  <w:style w:type="paragraph" w:customStyle="1" w:styleId="aff0">
    <w:name w:val="表格"/>
    <w:basedOn w:val="a0"/>
    <w:qFormat/>
    <w:pPr>
      <w:adjustRightInd w:val="0"/>
    </w:pPr>
    <w:rPr>
      <w:rFonts w:ascii="Times New Roman" w:eastAsia="宋体" w:hAnsi="Times New Roman" w:cs="宋体"/>
      <w:szCs w:val="22"/>
    </w:rPr>
  </w:style>
  <w:style w:type="character" w:customStyle="1" w:styleId="6Char1">
    <w:name w:val="标题 6 Char1"/>
    <w:uiPriority w:val="9"/>
    <w:qFormat/>
    <w:rPr>
      <w:b/>
      <w:bCs/>
      <w:kern w:val="2"/>
      <w:sz w:val="24"/>
      <w:szCs w:val="24"/>
    </w:rPr>
  </w:style>
  <w:style w:type="character" w:customStyle="1" w:styleId="Char1">
    <w:name w:val="款文 Char"/>
    <w:link w:val="aff1"/>
    <w:qFormat/>
    <w:rPr>
      <w:szCs w:val="18"/>
    </w:rPr>
  </w:style>
  <w:style w:type="paragraph" w:customStyle="1" w:styleId="aff1">
    <w:name w:val="款文"/>
    <w:basedOn w:val="a0"/>
    <w:link w:val="Char1"/>
    <w:qFormat/>
    <w:pPr>
      <w:spacing w:line="360" w:lineRule="auto"/>
      <w:ind w:firstLineChars="200" w:firstLine="420"/>
    </w:pPr>
    <w:rPr>
      <w:rFonts w:ascii="Times New Roman" w:eastAsia="宋体" w:hAnsi="Times New Roman" w:cs="Times New Roman"/>
      <w:kern w:val="0"/>
      <w:sz w:val="20"/>
      <w:szCs w:val="18"/>
    </w:rPr>
  </w:style>
  <w:style w:type="paragraph" w:customStyle="1" w:styleId="aff2">
    <w:name w:val="章标题"/>
    <w:next w:val="a0"/>
    <w:qFormat/>
    <w:pPr>
      <w:spacing w:beforeLines="100" w:before="312" w:afterLines="100" w:after="312"/>
      <w:jc w:val="both"/>
      <w:outlineLvl w:val="1"/>
    </w:pPr>
    <w:rPr>
      <w:rFonts w:ascii="黑体" w:eastAsia="黑体"/>
      <w:sz w:val="21"/>
    </w:rPr>
  </w:style>
  <w:style w:type="paragraph" w:customStyle="1" w:styleId="aff3">
    <w:name w:val="二级条标题"/>
    <w:basedOn w:val="a"/>
    <w:next w:val="a0"/>
    <w:qFormat/>
    <w:pPr>
      <w:numPr>
        <w:ilvl w:val="0"/>
        <w:numId w:val="0"/>
      </w:numPr>
      <w:spacing w:before="50" w:after="50"/>
      <w:outlineLvl w:val="3"/>
    </w:pPr>
  </w:style>
  <w:style w:type="paragraph" w:customStyle="1" w:styleId="aff4">
    <w:name w:val="三级条标题"/>
    <w:basedOn w:val="aff3"/>
    <w:next w:val="a0"/>
    <w:qFormat/>
    <w:pPr>
      <w:outlineLvl w:val="4"/>
    </w:pPr>
  </w:style>
  <w:style w:type="paragraph" w:customStyle="1" w:styleId="aff5">
    <w:name w:val="四级条标题"/>
    <w:basedOn w:val="aff4"/>
    <w:next w:val="a0"/>
    <w:qFormat/>
    <w:pPr>
      <w:outlineLvl w:val="5"/>
    </w:pPr>
  </w:style>
  <w:style w:type="paragraph" w:customStyle="1" w:styleId="aff6">
    <w:name w:val="五级条标题"/>
    <w:basedOn w:val="aff5"/>
    <w:next w:val="a0"/>
    <w:qFormat/>
    <w:pPr>
      <w:outlineLvl w:val="6"/>
    </w:pPr>
  </w:style>
  <w:style w:type="paragraph" w:customStyle="1" w:styleId="aff7">
    <w:name w:val="前言、引言标题"/>
    <w:next w:val="a0"/>
    <w:qFormat/>
    <w:pPr>
      <w:shd w:val="clear" w:color="FFFFFF" w:fill="FFFFFF"/>
      <w:spacing w:before="640" w:after="560"/>
      <w:jc w:val="center"/>
      <w:outlineLvl w:val="0"/>
    </w:pPr>
    <w:rPr>
      <w:rFonts w:ascii="黑体" w:eastAsia="黑体"/>
      <w:sz w:val="32"/>
    </w:rPr>
  </w:style>
  <w:style w:type="paragraph" w:customStyle="1" w:styleId="aff8">
    <w:name w:val="实施日期"/>
    <w:basedOn w:val="a0"/>
    <w:qFormat/>
    <w:pPr>
      <w:framePr w:w="4000" w:h="473" w:hRule="exact" w:vSpace="180" w:wrap="around" w:hAnchor="margin" w:xAlign="right" w:y="13511" w:anchorLock="1"/>
      <w:widowControl/>
      <w:ind w:left="105"/>
      <w:jc w:val="right"/>
    </w:pPr>
    <w:rPr>
      <w:rFonts w:ascii="Times New Roman" w:eastAsia="黑体" w:hAnsi="Times New Roman" w:cs="Times New Roman"/>
      <w:kern w:val="0"/>
      <w:sz w:val="28"/>
      <w:szCs w:val="20"/>
    </w:rPr>
  </w:style>
  <w:style w:type="paragraph" w:customStyle="1" w:styleId="aff9">
    <w:name w:val="图表脚注"/>
    <w:next w:val="a0"/>
    <w:qFormat/>
    <w:pPr>
      <w:jc w:val="both"/>
    </w:pPr>
    <w:rPr>
      <w:rFonts w:ascii="宋体"/>
      <w:sz w:val="18"/>
    </w:rPr>
  </w:style>
  <w:style w:type="character" w:customStyle="1" w:styleId="font11">
    <w:name w:val="font11"/>
    <w:basedOn w:val="a1"/>
    <w:rPr>
      <w:rFonts w:ascii="宋体" w:eastAsia="宋体" w:hAnsi="宋体" w:cs="宋体" w:hint="eastAsia"/>
      <w:b/>
      <w:color w:val="000000"/>
      <w:sz w:val="18"/>
      <w:szCs w:val="18"/>
      <w:u w:val="none"/>
    </w:rPr>
  </w:style>
  <w:style w:type="character" w:customStyle="1" w:styleId="font41">
    <w:name w:val="font41"/>
    <w:basedOn w:val="a1"/>
    <w:rPr>
      <w:rFonts w:ascii="宋体" w:eastAsia="宋体" w:hAnsi="宋体" w:cs="宋体" w:hint="eastAsia"/>
      <w:b/>
      <w:color w:val="000000"/>
      <w:sz w:val="18"/>
      <w:szCs w:val="1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bgxqajjjgk@zb.shandong.cn" TargetMode="External"/><Relationship Id="rId13" Type="http://schemas.openxmlformats.org/officeDocument/2006/relationships/header" Target="header3.xml"/><Relationship Id="rId18" Type="http://schemas.openxmlformats.org/officeDocument/2006/relationships/hyperlink" Target="http://wiki.zhulong.com/baike/detail.asp?t=&#26632;&#26725;"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header" Target="header1.xml"/><Relationship Id="rId19" Type="http://schemas.openxmlformats.org/officeDocument/2006/relationships/footer" Target="footer6.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3.xml"/><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72</TotalTime>
  <Pages>62</Pages>
  <Words>4254</Words>
  <Characters>24254</Characters>
  <Application>Microsoft Office Word</Application>
  <DocSecurity>0</DocSecurity>
  <Lines>202</Lines>
  <Paragraphs>56</Paragraphs>
  <ScaleCrop>false</ScaleCrop>
  <Company/>
  <LinksUpToDate>false</LinksUpToDate>
  <CharactersWithSpaces>28452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长青之松</dc:creator>
  <cp:lastModifiedBy>ADMIN</cp:lastModifiedBy>
  <cp:revision>9</cp:revision>
  <cp:lastPrinted>2021-01-25T08:57:00Z</cp:lastPrinted>
  <dcterms:created xsi:type="dcterms:W3CDTF">2019-12-09T08:59:00Z</dcterms:created>
  <dcterms:modified xsi:type="dcterms:W3CDTF">2021-02-01T01:44:00Z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