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96143BD" w14:textId="77777777" w:rsidR="00AC30B7" w:rsidRDefault="00AC30B7" w:rsidP="00D00CF9">
      <w:pPr>
        <w:spacing w:line="240" w:lineRule="auto"/>
        <w:ind w:firstLineChars="0" w:firstLine="0"/>
        <w:rPr>
          <w:rFonts w:ascii="黑体" w:eastAsia="黑体" w:hAnsi="黑体" w:cs="黑体"/>
          <w:sz w:val="28"/>
          <w:szCs w:val="28"/>
        </w:rPr>
      </w:pPr>
    </w:p>
    <w:p w14:paraId="2C059EA9" w14:textId="30243DBD" w:rsidR="00D00CF9" w:rsidRPr="00D00CF9" w:rsidRDefault="00D00CF9" w:rsidP="00D00CF9">
      <w:pPr>
        <w:spacing w:line="240" w:lineRule="auto"/>
        <w:ind w:firstLineChars="0" w:firstLine="0"/>
        <w:rPr>
          <w:rFonts w:hAnsi="宋体" w:cs="宋体"/>
          <w:b/>
          <w:szCs w:val="27"/>
        </w:rPr>
      </w:pPr>
      <w:r w:rsidRPr="00D00CF9">
        <w:rPr>
          <w:rFonts w:ascii="黑体" w:eastAsia="黑体" w:hAnsi="黑体" w:cs="黑体" w:hint="eastAsia"/>
          <w:sz w:val="28"/>
          <w:szCs w:val="28"/>
        </w:rPr>
        <w:t>淄博高新区一般公共预算项目绩效评价</w:t>
      </w:r>
    </w:p>
    <w:p w14:paraId="3A60BA17" w14:textId="4393029E" w:rsidR="00D00CF9" w:rsidRDefault="00D00CF9" w:rsidP="00250068">
      <w:pPr>
        <w:spacing w:line="240" w:lineRule="auto"/>
        <w:ind w:firstLineChars="0" w:firstLine="0"/>
        <w:jc w:val="center"/>
        <w:rPr>
          <w:rFonts w:hAnsi="宋体" w:cs="宋体"/>
          <w:b/>
          <w:szCs w:val="27"/>
        </w:rPr>
      </w:pPr>
    </w:p>
    <w:p w14:paraId="79D8426F" w14:textId="77777777" w:rsidR="00D00CF9" w:rsidRPr="00D00CF9" w:rsidRDefault="00D00CF9" w:rsidP="00250068">
      <w:pPr>
        <w:spacing w:line="240" w:lineRule="auto"/>
        <w:ind w:firstLineChars="0" w:firstLine="0"/>
        <w:jc w:val="center"/>
        <w:rPr>
          <w:rFonts w:hAnsi="宋体" w:cs="宋体"/>
          <w:b/>
          <w:szCs w:val="27"/>
        </w:rPr>
      </w:pPr>
    </w:p>
    <w:p w14:paraId="36920D2E" w14:textId="6EA49122" w:rsidR="008E58E2" w:rsidRDefault="00772BFC" w:rsidP="00250068">
      <w:pPr>
        <w:spacing w:line="240" w:lineRule="auto"/>
        <w:ind w:firstLineChars="0" w:firstLine="0"/>
        <w:jc w:val="center"/>
        <w:rPr>
          <w:rFonts w:hAnsi="宋体" w:cs="宋体"/>
          <w:b/>
          <w:sz w:val="44"/>
          <w:szCs w:val="44"/>
        </w:rPr>
      </w:pPr>
      <w:r>
        <w:rPr>
          <w:rFonts w:hAnsi="宋体" w:cs="宋体" w:hint="eastAsia"/>
          <w:b/>
          <w:sz w:val="44"/>
          <w:szCs w:val="44"/>
        </w:rPr>
        <w:t>淄博高新区</w:t>
      </w:r>
      <w:bookmarkStart w:id="0" w:name="_Hlk53473226"/>
      <w:r>
        <w:rPr>
          <w:rFonts w:hAnsi="宋体" w:cs="宋体" w:hint="eastAsia"/>
          <w:b/>
          <w:sz w:val="44"/>
          <w:szCs w:val="44"/>
        </w:rPr>
        <w:t>中小学消防改造、幼儿园生均</w:t>
      </w:r>
    </w:p>
    <w:p w14:paraId="1C107BE6" w14:textId="77777777" w:rsidR="008E58E2" w:rsidRDefault="00772BFC" w:rsidP="00250068">
      <w:pPr>
        <w:spacing w:line="240" w:lineRule="auto"/>
        <w:ind w:firstLineChars="0" w:firstLine="0"/>
        <w:jc w:val="center"/>
        <w:rPr>
          <w:rFonts w:hAnsi="宋体" w:cs="宋体"/>
          <w:b/>
          <w:sz w:val="44"/>
          <w:szCs w:val="44"/>
        </w:rPr>
      </w:pPr>
      <w:r>
        <w:rPr>
          <w:rFonts w:hAnsi="宋体" w:cs="宋体" w:hint="eastAsia"/>
          <w:b/>
          <w:sz w:val="44"/>
          <w:szCs w:val="44"/>
        </w:rPr>
        <w:t>公用经费及2017-2019年校车运行费项目</w:t>
      </w:r>
      <w:bookmarkEnd w:id="0"/>
    </w:p>
    <w:p w14:paraId="3F6DE665" w14:textId="77777777" w:rsidR="008E58E2" w:rsidRDefault="00772BFC" w:rsidP="00250068">
      <w:pPr>
        <w:spacing w:line="240" w:lineRule="auto"/>
        <w:ind w:firstLineChars="0" w:firstLine="0"/>
        <w:jc w:val="center"/>
        <w:rPr>
          <w:rFonts w:hAnsi="宋体" w:cs="宋体"/>
          <w:b/>
          <w:sz w:val="44"/>
          <w:szCs w:val="44"/>
        </w:rPr>
      </w:pPr>
      <w:r>
        <w:rPr>
          <w:rFonts w:hAnsi="宋体" w:cs="宋体" w:hint="eastAsia"/>
          <w:b/>
          <w:sz w:val="44"/>
          <w:szCs w:val="44"/>
        </w:rPr>
        <w:t>绩效评价报告</w:t>
      </w:r>
      <w:bookmarkStart w:id="1" w:name="_Toc10886"/>
    </w:p>
    <w:p w14:paraId="5BEABFE6" w14:textId="0C4C8495" w:rsidR="002421BF" w:rsidRDefault="002421BF" w:rsidP="002421BF">
      <w:pPr>
        <w:ind w:firstLineChars="0" w:firstLine="0"/>
        <w:jc w:val="right"/>
        <w:rPr>
          <w:rFonts w:ascii="黑体" w:eastAsia="黑体" w:hAnsi="黑体" w:cs="黑体"/>
          <w:sz w:val="18"/>
          <w:szCs w:val="18"/>
        </w:rPr>
      </w:pPr>
    </w:p>
    <w:p w14:paraId="6E870378" w14:textId="77777777" w:rsidR="00F91555" w:rsidRPr="002421BF" w:rsidRDefault="00F91555" w:rsidP="002421BF">
      <w:pPr>
        <w:ind w:firstLineChars="0" w:firstLine="0"/>
        <w:jc w:val="right"/>
        <w:rPr>
          <w:rFonts w:ascii="黑体" w:eastAsia="黑体" w:hAnsi="黑体" w:cs="黑体"/>
          <w:sz w:val="18"/>
          <w:szCs w:val="18"/>
        </w:rPr>
      </w:pPr>
    </w:p>
    <w:p w14:paraId="2466E51E" w14:textId="77777777" w:rsidR="008E58E2" w:rsidRDefault="00772BFC">
      <w:pPr>
        <w:ind w:firstLine="600"/>
        <w:jc w:val="left"/>
        <w:outlineLvl w:val="0"/>
        <w:rPr>
          <w:rFonts w:ascii="黑体" w:eastAsia="黑体" w:hAnsi="黑体" w:cs="黑体"/>
          <w:sz w:val="30"/>
          <w:szCs w:val="30"/>
        </w:rPr>
      </w:pPr>
      <w:r>
        <w:rPr>
          <w:rFonts w:ascii="黑体" w:eastAsia="黑体" w:hAnsi="黑体" w:cs="黑体" w:hint="eastAsia"/>
          <w:sz w:val="30"/>
          <w:szCs w:val="30"/>
        </w:rPr>
        <w:t>一、基本情况</w:t>
      </w:r>
    </w:p>
    <w:bookmarkEnd w:id="1"/>
    <w:p w14:paraId="1A706F5E" w14:textId="77777777" w:rsidR="008E58E2" w:rsidRDefault="00772BFC">
      <w:pPr>
        <w:pStyle w:val="2"/>
        <w:ind w:firstLine="562"/>
      </w:pPr>
      <w:r>
        <w:rPr>
          <w:rFonts w:hint="eastAsia"/>
        </w:rPr>
        <w:t>（一）项目背景</w:t>
      </w:r>
    </w:p>
    <w:p w14:paraId="666D16DA" w14:textId="77777777" w:rsidR="008E58E2" w:rsidRDefault="00772BFC">
      <w:pPr>
        <w:ind w:firstLine="540"/>
      </w:pPr>
      <w:r>
        <w:t>教育在经济社会发展和民族振兴中具有先导性、基础性</w:t>
      </w:r>
      <w:r>
        <w:rPr>
          <w:rFonts w:hint="eastAsia"/>
        </w:rPr>
        <w:t>、</w:t>
      </w:r>
      <w:r>
        <w:t>全局性地位。我国正处于实现</w:t>
      </w:r>
      <w:r>
        <w:rPr>
          <w:rFonts w:hint="eastAsia"/>
        </w:rPr>
        <w:t>“</w:t>
      </w:r>
      <w:r>
        <w:t>两个一百年</w:t>
      </w:r>
      <w:r>
        <w:rPr>
          <w:rFonts w:hint="eastAsia"/>
        </w:rPr>
        <w:t>”</w:t>
      </w:r>
      <w:r>
        <w:t>奋斗目标、实现中华民族伟大复兴的关键时期，必须更加重视教育，努力培养出更多更好</w:t>
      </w:r>
      <w:r>
        <w:rPr>
          <w:rFonts w:hint="eastAsia"/>
        </w:rPr>
        <w:t>符合</w:t>
      </w:r>
      <w:r>
        <w:t>时代需要的人才。</w:t>
      </w:r>
    </w:p>
    <w:p w14:paraId="0212A1C2" w14:textId="77777777" w:rsidR="008E58E2" w:rsidRDefault="00772BFC">
      <w:pPr>
        <w:ind w:firstLine="540"/>
      </w:pPr>
      <w:r>
        <w:t>国务院《关于统筹推进县域内城乡义务教育一体化改革发展的若干意见》（国发〔2016〕40号）</w:t>
      </w:r>
      <w:r>
        <w:rPr>
          <w:rFonts w:hint="eastAsia"/>
        </w:rPr>
        <w:t>，</w:t>
      </w:r>
      <w:r>
        <w:t>提出义务教育与城镇化发展基本协调</w:t>
      </w:r>
      <w:r>
        <w:rPr>
          <w:rFonts w:hint="eastAsia"/>
        </w:rPr>
        <w:t>的</w:t>
      </w:r>
      <w:r>
        <w:t>十项改革举措。为贯彻落实国发〔2016〕40号文件，促进义务教育持续健康发展，省政府制定并实施《关于贯彻国发〔2016〕40号文件统筹推进县域内城乡义务教育一体化改革发展的实施意见》（鲁政发〔2017〕24号），对统筹推进山东省县域内城乡义务教育一体化改革发展提出实施意见。</w:t>
      </w:r>
    </w:p>
    <w:p w14:paraId="1FD44CEC" w14:textId="77777777" w:rsidR="008E58E2" w:rsidRDefault="00772BFC">
      <w:pPr>
        <w:ind w:firstLine="540"/>
      </w:pPr>
      <w:r>
        <w:t>根据国家、省级相关政策文件精神，市政府制定并实施《关于贯彻鲁政发〔2017〕24号文件统筹推进县（区）域内城乡义务教育一体化改革发展的实施意见》（</w:t>
      </w:r>
      <w:proofErr w:type="gramStart"/>
      <w:r>
        <w:t>淄</w:t>
      </w:r>
      <w:proofErr w:type="gramEnd"/>
      <w:r>
        <w:t>政发〔2017〕34号），对统筹推进市县（区）域内城乡义务教育一体化改革发展提出实施意见，各区县要根据上一学年度统计的城乡公办义务教育学校的校舍建筑面积，按每平方米不低于</w:t>
      </w:r>
      <w:r>
        <w:lastRenderedPageBreak/>
        <w:t>8元的标准安排校舍维修改造资金。</w:t>
      </w:r>
    </w:p>
    <w:p w14:paraId="2E97AB1E" w14:textId="77777777" w:rsidR="008E58E2" w:rsidRDefault="00772BFC">
      <w:pPr>
        <w:ind w:firstLine="540"/>
      </w:pPr>
      <w:r>
        <w:t>校舍安全直接关系广大师生的生命安全，关系社会和谐稳定</w:t>
      </w:r>
      <w:r>
        <w:rPr>
          <w:rFonts w:hint="eastAsia"/>
        </w:rPr>
        <w:t>；</w:t>
      </w:r>
      <w:r>
        <w:t>实施校舍安全工程意义重大，影响深远。</w:t>
      </w:r>
      <w:r>
        <w:rPr>
          <w:rFonts w:hint="eastAsia"/>
        </w:rPr>
        <w:t>公安部发布《机关、团体、企业、事业单位消防安全管理规定》（公安部令第61号），加强及规范机关、团体、企业、事业单位的消防安全管理，预防火灾和减少火灾危害；山东省为加强火灾高危单位消防安全管理，提高自防自救能力，预防火灾事故，保护人身、财产安全，发布《山东省火灾高危单位消防安全管理规定》（省政府令第263号），高新区为贯彻落实中央、省、市相关文件精神，根据《关于在全区开展“畅通生命通道”消防安全专项整治行动的通知》（</w:t>
      </w:r>
      <w:proofErr w:type="gramStart"/>
      <w:r>
        <w:rPr>
          <w:rFonts w:hint="eastAsia"/>
        </w:rPr>
        <w:t>淄高新消发〔2019〕</w:t>
      </w:r>
      <w:proofErr w:type="gramEnd"/>
      <w:r>
        <w:rPr>
          <w:rFonts w:hint="eastAsia"/>
        </w:rPr>
        <w:t>1号）、《关于全国文明校园创建观摩会有关经费的请示》（</w:t>
      </w:r>
      <w:proofErr w:type="gramStart"/>
      <w:r>
        <w:rPr>
          <w:rFonts w:hint="eastAsia"/>
        </w:rPr>
        <w:t>淄</w:t>
      </w:r>
      <w:proofErr w:type="gramEnd"/>
      <w:r>
        <w:rPr>
          <w:rFonts w:hint="eastAsia"/>
        </w:rPr>
        <w:t>高新地事发〔2017〕299号）文件要求，组织实施2019年中小学消防改造及维修费项目。</w:t>
      </w:r>
    </w:p>
    <w:p w14:paraId="0B8C5CEB" w14:textId="77777777" w:rsidR="008E58E2" w:rsidRDefault="00772BFC">
      <w:pPr>
        <w:ind w:firstLine="540"/>
      </w:pPr>
      <w:r>
        <w:t>2017年4月，教育部、</w:t>
      </w:r>
      <w:proofErr w:type="gramStart"/>
      <w:r>
        <w:t>国家发改委</w:t>
      </w:r>
      <w:proofErr w:type="gramEnd"/>
      <w:r>
        <w:t>、财政部</w:t>
      </w:r>
      <w:proofErr w:type="gramStart"/>
      <w:r>
        <w:t>和人社部</w:t>
      </w:r>
      <w:proofErr w:type="gramEnd"/>
      <w:r>
        <w:t>四部门印发《关于实施第三期学前教育行动计划的意见》</w:t>
      </w:r>
      <w:r>
        <w:rPr>
          <w:rFonts w:hint="eastAsia"/>
        </w:rPr>
        <w:t>（</w:t>
      </w:r>
      <w:r>
        <w:t>教基〔2017〕3号</w:t>
      </w:r>
      <w:r>
        <w:rPr>
          <w:rFonts w:hint="eastAsia"/>
        </w:rPr>
        <w:t>）文件</w:t>
      </w:r>
      <w:r>
        <w:t>，明确要求各地按照非义务教育成本分担的要求，建立与管理体制相适应的生均拨款、收费、资助一体化的</w:t>
      </w:r>
      <w:bookmarkStart w:id="2" w:name="_Hlk47717072"/>
      <w:r>
        <w:t>学前教育经费投入机制，保障幼儿园正常运转和稳定发展。</w:t>
      </w:r>
    </w:p>
    <w:bookmarkEnd w:id="2"/>
    <w:p w14:paraId="22D54DA2" w14:textId="77777777" w:rsidR="008E58E2" w:rsidRDefault="00772BFC">
      <w:pPr>
        <w:ind w:firstLine="540"/>
      </w:pPr>
      <w:r>
        <w:t>为认真贯彻落实《中共中央、国务院关于全面深化新时代教师队伍建设改革的意见》（中发〔2018〕4号）、教育部等四部门《关于实施第三期学前教育行动计划的意见》（教基〔2017〕3号）</w:t>
      </w:r>
      <w:r>
        <w:rPr>
          <w:rFonts w:hint="eastAsia"/>
        </w:rPr>
        <w:t>文件</w:t>
      </w:r>
      <w:r>
        <w:t>精神，加快我省学前教育改革发展，省政府办公厅</w:t>
      </w:r>
      <w:r>
        <w:rPr>
          <w:rFonts w:hint="eastAsia"/>
        </w:rPr>
        <w:t>印发《</w:t>
      </w:r>
      <w:r>
        <w:t>关于加快学前教育改革发展的意见</w:t>
      </w:r>
      <w:r>
        <w:rPr>
          <w:rFonts w:hint="eastAsia"/>
        </w:rPr>
        <w:t>》（</w:t>
      </w:r>
      <w:r>
        <w:t>鲁政办字〔2018〕71号</w:t>
      </w:r>
      <w:r>
        <w:rPr>
          <w:rFonts w:hint="eastAsia"/>
        </w:rPr>
        <w:t>）文件，明确学前教育改革发展的总体要求、主要任务和保障措施。</w:t>
      </w:r>
      <w:r>
        <w:t>省财政厅、教育厅印发《关于幼儿园生均公用经费财政拨款标准有关问题的通知》</w:t>
      </w:r>
      <w:r>
        <w:rPr>
          <w:rFonts w:hint="eastAsia"/>
        </w:rPr>
        <w:t>（</w:t>
      </w:r>
      <w:proofErr w:type="gramStart"/>
      <w:r>
        <w:rPr>
          <w:rFonts w:hint="eastAsia"/>
        </w:rPr>
        <w:t>鲁财教</w:t>
      </w:r>
      <w:proofErr w:type="gramEnd"/>
      <w:r>
        <w:rPr>
          <w:rFonts w:hAnsi="宋体" w:cs="宋体" w:hint="eastAsia"/>
        </w:rPr>
        <w:t>〔2018〕</w:t>
      </w:r>
      <w:r>
        <w:rPr>
          <w:rFonts w:hint="eastAsia"/>
        </w:rPr>
        <w:t>29号）</w:t>
      </w:r>
      <w:r>
        <w:t>，从拨款标准、适用范围、经费开支范围、经费保障等方面对建立全省幼儿园生均公用经费财政拨款制度</w:t>
      </w:r>
      <w:proofErr w:type="gramStart"/>
      <w:r>
        <w:t>作出</w:t>
      </w:r>
      <w:proofErr w:type="gramEnd"/>
      <w:r>
        <w:t>部署。</w:t>
      </w:r>
    </w:p>
    <w:p w14:paraId="6C100469" w14:textId="77777777" w:rsidR="008E58E2" w:rsidRDefault="00772BFC">
      <w:pPr>
        <w:ind w:firstLine="540"/>
      </w:pPr>
      <w:r>
        <w:rPr>
          <w:rFonts w:hint="eastAsia"/>
        </w:rPr>
        <w:lastRenderedPageBreak/>
        <w:t>贯彻落实中央、省关于学前教育生均公用经费相关政策及文件精神，加快我市学前教育改革发展，市政府印发《&lt;关于加快学前教育改革发展的实施意见&gt;和&lt;关于鼓励社会力量兴办教育促进民办教育健康发展的实施意见&gt;的通知》（</w:t>
      </w:r>
      <w:proofErr w:type="gramStart"/>
      <w:r>
        <w:rPr>
          <w:rFonts w:hint="eastAsia"/>
        </w:rPr>
        <w:t>淄</w:t>
      </w:r>
      <w:proofErr w:type="gramEnd"/>
      <w:r>
        <w:rPr>
          <w:rFonts w:hint="eastAsia"/>
        </w:rPr>
        <w:t>政发〔2018〕18号）文件，对淄博市学前教育改革发展指明方向。</w:t>
      </w:r>
    </w:p>
    <w:p w14:paraId="3D8611B4" w14:textId="77777777" w:rsidR="008E58E2" w:rsidRDefault="00772BFC">
      <w:pPr>
        <w:ind w:firstLine="540"/>
      </w:pPr>
      <w:r>
        <w:rPr>
          <w:rFonts w:hint="eastAsia"/>
        </w:rPr>
        <w:t>根据中央、省、市相关文件精神要求，高新区制定并实施《淄博高新区第三期学前教育三年行动计划（2018-2020年）》（</w:t>
      </w:r>
      <w:proofErr w:type="gramStart"/>
      <w:r>
        <w:rPr>
          <w:rFonts w:hint="eastAsia"/>
        </w:rPr>
        <w:t>淄</w:t>
      </w:r>
      <w:proofErr w:type="gramEnd"/>
      <w:r>
        <w:rPr>
          <w:rFonts w:hint="eastAsia"/>
        </w:rPr>
        <w:t>高新管字</w:t>
      </w:r>
      <w:r>
        <w:rPr>
          <w:rFonts w:hAnsi="宋体" w:cs="宋体" w:hint="eastAsia"/>
        </w:rPr>
        <w:t>〔2018〕61号</w:t>
      </w:r>
      <w:r>
        <w:rPr>
          <w:rFonts w:hint="eastAsia"/>
        </w:rPr>
        <w:t>）并召开高新区</w:t>
      </w:r>
      <w:r>
        <w:rPr>
          <w:rFonts w:hAnsi="宋体" w:cs="宋体" w:hint="eastAsia"/>
        </w:rPr>
        <w:t>〔2018〕第9次工委会议；根据相关文件及会议纪要</w:t>
      </w:r>
      <w:r>
        <w:rPr>
          <w:rFonts w:hint="eastAsia"/>
        </w:rPr>
        <w:t>区地事局、区财政局印发《关于高新区学前教育生均公用经费的实施方案》（</w:t>
      </w:r>
      <w:proofErr w:type="gramStart"/>
      <w:r>
        <w:rPr>
          <w:rFonts w:hint="eastAsia"/>
        </w:rPr>
        <w:t>淄</w:t>
      </w:r>
      <w:proofErr w:type="gramEnd"/>
      <w:r>
        <w:rPr>
          <w:rFonts w:hint="eastAsia"/>
        </w:rPr>
        <w:t>高新地事发</w:t>
      </w:r>
      <w:r>
        <w:rPr>
          <w:rFonts w:hAnsi="宋体" w:cs="宋体" w:hint="eastAsia"/>
        </w:rPr>
        <w:t>〔2019〕206号</w:t>
      </w:r>
      <w:r>
        <w:rPr>
          <w:rFonts w:hint="eastAsia"/>
        </w:rPr>
        <w:t>），确定高新区公办（包括公办性质）、普惠性民办幼儿园自2018年9月开始</w:t>
      </w:r>
      <w:bookmarkStart w:id="3" w:name="_Hlk47719257"/>
      <w:r>
        <w:rPr>
          <w:rFonts w:hint="eastAsia"/>
        </w:rPr>
        <w:t>实施生均公用经费政策</w:t>
      </w:r>
      <w:bookmarkEnd w:id="3"/>
      <w:r>
        <w:rPr>
          <w:rFonts w:hint="eastAsia"/>
        </w:rPr>
        <w:t>，按照每生月100元标准拨付。</w:t>
      </w:r>
    </w:p>
    <w:p w14:paraId="5B61ED0C" w14:textId="77777777" w:rsidR="008E58E2" w:rsidRDefault="00772BFC">
      <w:pPr>
        <w:ind w:firstLine="540"/>
      </w:pPr>
      <w:r>
        <w:t>校车，是指依照《校车安全管理条例》取得使用许可，用于接送义务教育学生上下学的7座以上载客汽车。</w:t>
      </w:r>
      <w:r>
        <w:rPr>
          <w:rFonts w:hint="eastAsia"/>
        </w:rPr>
        <w:t>孩子是祖国的花朵、是祖国的未来，更是每一个家庭的希望，</w:t>
      </w:r>
      <w:bookmarkStart w:id="4" w:name="_Hlk47717259"/>
      <w:r>
        <w:rPr>
          <w:rFonts w:hint="eastAsia"/>
        </w:rPr>
        <w:t>校车作为每天接送孩子上下学的交通工具，其安全性不容忽视</w:t>
      </w:r>
      <w:bookmarkEnd w:id="4"/>
      <w:r>
        <w:rPr>
          <w:rFonts w:hint="eastAsia"/>
        </w:rPr>
        <w:t>。</w:t>
      </w:r>
      <w:r>
        <w:t xml:space="preserve"> </w:t>
      </w:r>
    </w:p>
    <w:p w14:paraId="56CFCA36" w14:textId="77777777" w:rsidR="008E58E2" w:rsidRDefault="00772BFC">
      <w:pPr>
        <w:ind w:firstLine="540"/>
      </w:pPr>
      <w:r>
        <w:t>为了加强校车安全管理，保障乘坐校车学生的人身安全</w:t>
      </w:r>
      <w:r>
        <w:rPr>
          <w:rFonts w:hint="eastAsia"/>
        </w:rPr>
        <w:t>，国务院颁布《校车安全管理条例》（国务院令第617号）文件，从学校和校车服务提供者、校车使用许可、校车驾驶人、校车通行安全、校车乘车安全、法律责任等方面，对校车管理进行明确规定。</w:t>
      </w:r>
    </w:p>
    <w:p w14:paraId="7C8D662F" w14:textId="77777777" w:rsidR="008E58E2" w:rsidRDefault="00772BFC">
      <w:pPr>
        <w:ind w:firstLine="540"/>
      </w:pPr>
      <w:r>
        <w:rPr>
          <w:rFonts w:hint="eastAsia"/>
        </w:rPr>
        <w:t>根据中央相关精神，省政府颁布并实施《山东省校车安全管理办法》（省政府令第295号），明确校车管理机制、校车服务提供、校车使用许可、校车驾驶人、校车通行及乘车安全、特别规定、法律责任等内容。淄博市为进一步加强校车安全管理工作，预防校车道路交通事故，切实保障乘坐校车学生、幼儿的人身安全，市政府办公厅发布《关于进一步加强校车安全管理工作的通知》，对各区县校车安全管理工作</w:t>
      </w:r>
      <w:proofErr w:type="gramStart"/>
      <w:r>
        <w:rPr>
          <w:rFonts w:hint="eastAsia"/>
        </w:rPr>
        <w:t>作出</w:t>
      </w:r>
      <w:proofErr w:type="gramEnd"/>
      <w:r>
        <w:rPr>
          <w:rFonts w:hint="eastAsia"/>
        </w:rPr>
        <w:t>指导。</w:t>
      </w:r>
    </w:p>
    <w:p w14:paraId="579620D8" w14:textId="77777777" w:rsidR="008E58E2" w:rsidRDefault="00772BFC">
      <w:pPr>
        <w:ind w:firstLine="540"/>
      </w:pPr>
      <w:r>
        <w:rPr>
          <w:rFonts w:hint="eastAsia"/>
        </w:rPr>
        <w:lastRenderedPageBreak/>
        <w:t>2</w:t>
      </w:r>
      <w:r>
        <w:t>011年7月25日高新区第18次主任办公会议研究通过，确定</w:t>
      </w:r>
      <w:r>
        <w:rPr>
          <w:rFonts w:hint="eastAsia"/>
        </w:rPr>
        <w:t>“</w:t>
      </w:r>
      <w:r>
        <w:t>管委出资，公司化运行，财政补贴</w:t>
      </w:r>
      <w:r>
        <w:rPr>
          <w:rFonts w:hint="eastAsia"/>
        </w:rPr>
        <w:t>”</w:t>
      </w:r>
      <w:r>
        <w:t>的</w:t>
      </w:r>
      <w:r>
        <w:rPr>
          <w:rFonts w:hint="eastAsia"/>
        </w:rPr>
        <w:t>校车</w:t>
      </w:r>
      <w:r>
        <w:t>管理和运行模式，经区财政局、区</w:t>
      </w:r>
      <w:proofErr w:type="gramStart"/>
      <w:r>
        <w:t>采购办</w:t>
      </w:r>
      <w:proofErr w:type="gramEnd"/>
      <w:r>
        <w:t>及区地方事业局共同调研决定委托淄博市公共汽车公司开发区分公司管理运营</w:t>
      </w:r>
      <w:r>
        <w:rPr>
          <w:rFonts w:hint="eastAsia"/>
        </w:rPr>
        <w:t>高新区</w:t>
      </w:r>
      <w:r>
        <w:t>26辆校车</w:t>
      </w:r>
      <w:r>
        <w:rPr>
          <w:rFonts w:hint="eastAsia"/>
        </w:rPr>
        <w:t>，区教育中心根据中央、省、市、区相关文件对校车进行安全管理。</w:t>
      </w:r>
    </w:p>
    <w:p w14:paraId="3576DD67" w14:textId="77777777" w:rsidR="008E58E2" w:rsidRDefault="00772BFC">
      <w:pPr>
        <w:pStyle w:val="2"/>
        <w:ind w:firstLine="562"/>
      </w:pPr>
      <w:r>
        <w:rPr>
          <w:rFonts w:hint="eastAsia"/>
        </w:rPr>
        <w:t>（二）项目</w:t>
      </w:r>
      <w:r>
        <w:t>主要内容及实施情况</w:t>
      </w:r>
    </w:p>
    <w:p w14:paraId="2C189794" w14:textId="77777777" w:rsidR="008E58E2" w:rsidRDefault="00772BFC">
      <w:pPr>
        <w:ind w:firstLine="540"/>
      </w:pPr>
      <w:bookmarkStart w:id="5" w:name="_Hlk51093405"/>
      <w:bookmarkStart w:id="6" w:name="_Hlk50481998"/>
      <w:r>
        <w:rPr>
          <w:rFonts w:hint="eastAsia"/>
        </w:rPr>
        <w:t>中小学消防改造、幼儿园生均公用经费及2017-2019年校车运行费项目，</w:t>
      </w:r>
      <w:bookmarkStart w:id="7" w:name="_Hlk51087392"/>
      <w:bookmarkEnd w:id="5"/>
      <w:r>
        <w:rPr>
          <w:rFonts w:hint="eastAsia"/>
        </w:rPr>
        <w:t>包括三个项目：2019年中小学消防改造及维修费项目，2019年幼儿园生均公用经费项目，2017-2019年26辆校车运行费项目。</w:t>
      </w:r>
    </w:p>
    <w:bookmarkEnd w:id="6"/>
    <w:bookmarkEnd w:id="7"/>
    <w:p w14:paraId="467BD677" w14:textId="77777777" w:rsidR="008E58E2" w:rsidRDefault="00772BFC">
      <w:pPr>
        <w:ind w:firstLine="540"/>
        <w:rPr>
          <w:rFonts w:hAnsi="宋体"/>
        </w:rPr>
      </w:pPr>
      <w:r>
        <w:rPr>
          <w:rFonts w:hAnsi="宋体" w:hint="eastAsia"/>
        </w:rPr>
        <w:t>（1）2019年中小学消防改造及维修费项目</w:t>
      </w:r>
    </w:p>
    <w:p w14:paraId="17DF7AEF" w14:textId="77777777" w:rsidR="008E58E2" w:rsidRDefault="00772BFC">
      <w:pPr>
        <w:ind w:firstLine="540"/>
        <w:rPr>
          <w:rFonts w:hAnsi="宋体"/>
        </w:rPr>
      </w:pPr>
      <w:r>
        <w:rPr>
          <w:rFonts w:hAnsi="宋体" w:hint="eastAsia"/>
        </w:rPr>
        <w:t>该项目涉及淄博高新区实验中学、山东省淄博第十一中学、淄博高新技术产业开发区第六小学、淄博高新技术产业开发区第七小学、淄博高新技术产业开发区实验小学，共5所</w:t>
      </w:r>
      <w:proofErr w:type="gramStart"/>
      <w:r>
        <w:rPr>
          <w:rFonts w:hAnsi="宋体" w:hint="eastAsia"/>
        </w:rPr>
        <w:t>学校消防</w:t>
      </w:r>
      <w:proofErr w:type="gramEnd"/>
      <w:r>
        <w:rPr>
          <w:rFonts w:hAnsi="宋体" w:hint="eastAsia"/>
        </w:rPr>
        <w:t>及维修改造。</w:t>
      </w:r>
    </w:p>
    <w:p w14:paraId="737BE548" w14:textId="77777777" w:rsidR="008E58E2" w:rsidRDefault="00772BFC">
      <w:pPr>
        <w:ind w:firstLine="540"/>
        <w:rPr>
          <w:rFonts w:hAnsi="宋体"/>
        </w:rPr>
      </w:pPr>
      <w:r>
        <w:rPr>
          <w:rFonts w:hAnsi="宋体"/>
        </w:rPr>
        <w:t>一是</w:t>
      </w:r>
      <w:r>
        <w:rPr>
          <w:rFonts w:hAnsi="宋体" w:hint="eastAsia"/>
        </w:rPr>
        <w:t>淄博高新区实验中学（以下</w:t>
      </w:r>
      <w:r>
        <w:rPr>
          <w:rFonts w:hAnsi="宋体"/>
        </w:rPr>
        <w:t>简称实验</w:t>
      </w:r>
      <w:r>
        <w:rPr>
          <w:rFonts w:hAnsi="宋体" w:hint="eastAsia"/>
        </w:rPr>
        <w:t>中学）消防改造及维修费项目</w:t>
      </w:r>
      <w:r>
        <w:rPr>
          <w:rFonts w:hAnsi="宋体"/>
        </w:rPr>
        <w:t>，包括三个</w:t>
      </w:r>
      <w:r>
        <w:rPr>
          <w:rFonts w:hAnsi="宋体" w:hint="eastAsia"/>
        </w:rPr>
        <w:t>小项目，即实验</w:t>
      </w:r>
      <w:proofErr w:type="gramStart"/>
      <w:r>
        <w:rPr>
          <w:rFonts w:hAnsi="宋体" w:hint="eastAsia"/>
        </w:rPr>
        <w:t>中学消防</w:t>
      </w:r>
      <w:proofErr w:type="gramEnd"/>
      <w:r>
        <w:rPr>
          <w:rFonts w:hAnsi="宋体" w:hint="eastAsia"/>
        </w:rPr>
        <w:t>安全评估检测维保维修管理项目、实验中学校舍维修费项目（每平方8元）、实验</w:t>
      </w:r>
      <w:proofErr w:type="gramStart"/>
      <w:r>
        <w:rPr>
          <w:rFonts w:hAnsi="宋体" w:hint="eastAsia"/>
        </w:rPr>
        <w:t>中学深改项目</w:t>
      </w:r>
      <w:proofErr w:type="gramEnd"/>
      <w:r>
        <w:rPr>
          <w:rFonts w:hAnsi="宋体" w:hint="eastAsia"/>
        </w:rPr>
        <w:t>（文明校园创建）。</w:t>
      </w:r>
    </w:p>
    <w:p w14:paraId="7317FFC7" w14:textId="77777777" w:rsidR="008E58E2" w:rsidRDefault="00772BFC">
      <w:pPr>
        <w:ind w:firstLine="540"/>
        <w:rPr>
          <w:rFonts w:hAnsi="宋体"/>
        </w:rPr>
      </w:pPr>
      <w:r>
        <w:rPr>
          <w:rFonts w:hAnsi="宋体" w:hint="eastAsia"/>
        </w:rPr>
        <w:t>实验</w:t>
      </w:r>
      <w:proofErr w:type="gramStart"/>
      <w:r>
        <w:rPr>
          <w:rFonts w:hAnsi="宋体" w:hint="eastAsia"/>
        </w:rPr>
        <w:t>中学消防</w:t>
      </w:r>
      <w:proofErr w:type="gramEnd"/>
      <w:r>
        <w:rPr>
          <w:rFonts w:hAnsi="宋体" w:hint="eastAsia"/>
        </w:rPr>
        <w:t>安全评估检测维保维修管理项目主要内容为学校建筑电气设施安全监测，</w:t>
      </w:r>
      <w:r>
        <w:rPr>
          <w:rFonts w:hAnsi="宋体" w:hint="eastAsia"/>
          <w:color w:val="auto"/>
        </w:rPr>
        <w:t>消防安全评估；建筑防火分隔和安全疏散设施、火灾自动报警系统、消防给水设施、消火栓系统、自动喷水灭火系统、防烟排烟设施、消防电气和通讯设施、干粉灭火设施、移动式灭火器材等消防设施的维修保养；各功能楼的消防设施设备报警联动、供水系统、喷淋系统、防排烟机组等维修改造及消防应急照明灯、灭火器更换等工程维修改造，智能油污净化灭火系统设备采购；建筑消防设施年度全面功能检测</w:t>
      </w:r>
      <w:r>
        <w:rPr>
          <w:rFonts w:hAnsi="宋体" w:hint="eastAsia"/>
        </w:rPr>
        <w:t>。</w:t>
      </w:r>
    </w:p>
    <w:p w14:paraId="7ABC629C" w14:textId="77777777" w:rsidR="008E58E2" w:rsidRDefault="00772BFC">
      <w:pPr>
        <w:ind w:firstLine="540"/>
        <w:rPr>
          <w:rFonts w:hAnsi="宋体"/>
        </w:rPr>
      </w:pPr>
      <w:r>
        <w:rPr>
          <w:rFonts w:hAnsi="宋体" w:hint="eastAsia"/>
        </w:rPr>
        <w:t>实验中学校舍维修费项目（每平方8元）</w:t>
      </w:r>
      <w:bookmarkStart w:id="8" w:name="_Hlk50372014"/>
      <w:r>
        <w:rPr>
          <w:rFonts w:hAnsi="宋体" w:hint="eastAsia"/>
        </w:rPr>
        <w:t>主要内容为校园零星维修</w:t>
      </w:r>
      <w:r>
        <w:rPr>
          <w:rFonts w:hAnsi="宋体" w:hint="eastAsia"/>
        </w:rPr>
        <w:lastRenderedPageBreak/>
        <w:t>改造、装饰装修工程及部分校园现场会维修、修缮、粉刷、油漆、劳务等。</w:t>
      </w:r>
      <w:bookmarkEnd w:id="8"/>
    </w:p>
    <w:p w14:paraId="281FFB7A" w14:textId="77777777" w:rsidR="008E58E2" w:rsidRDefault="00772BFC">
      <w:pPr>
        <w:ind w:firstLine="540"/>
      </w:pPr>
      <w:r>
        <w:rPr>
          <w:rFonts w:hint="eastAsia"/>
        </w:rPr>
        <w:t>实验</w:t>
      </w:r>
      <w:proofErr w:type="gramStart"/>
      <w:r>
        <w:rPr>
          <w:rFonts w:hint="eastAsia"/>
        </w:rPr>
        <w:t>中学深改项目</w:t>
      </w:r>
      <w:proofErr w:type="gramEnd"/>
      <w:r>
        <w:rPr>
          <w:rFonts w:hint="eastAsia"/>
        </w:rPr>
        <w:t>（文明校园创建），实验中学作为文明校园现场观摩学校，对学校的文化建设、环境绿化、维修维护等方面根据创建工作需要进行施工建设。该项目主要对校园内部分墙体进行修缮、粉刷，采购花卉、人工草坪，玻璃贴膜，校园绿化，路灯、空调维修等。</w:t>
      </w:r>
    </w:p>
    <w:p w14:paraId="6DFF3416" w14:textId="77777777" w:rsidR="008E58E2" w:rsidRDefault="00772BFC">
      <w:pPr>
        <w:ind w:firstLine="540"/>
        <w:rPr>
          <w:rFonts w:hAnsi="宋体"/>
        </w:rPr>
      </w:pPr>
      <w:r>
        <w:rPr>
          <w:rFonts w:hAnsi="宋体" w:hint="eastAsia"/>
        </w:rPr>
        <w:t>二是山东省淄博第十一</w:t>
      </w:r>
      <w:proofErr w:type="gramStart"/>
      <w:r>
        <w:rPr>
          <w:rFonts w:hAnsi="宋体" w:hint="eastAsia"/>
        </w:rPr>
        <w:t>中学消防</w:t>
      </w:r>
      <w:proofErr w:type="gramEnd"/>
      <w:r>
        <w:rPr>
          <w:rFonts w:hAnsi="宋体" w:hint="eastAsia"/>
        </w:rPr>
        <w:t>改造及维修维护费项目，包括两个小项目，即十一中维修改造费项目和十一中消防安全设施更新改造项目。</w:t>
      </w:r>
    </w:p>
    <w:p w14:paraId="727E15BE" w14:textId="77777777" w:rsidR="008E58E2" w:rsidRDefault="00772BFC">
      <w:pPr>
        <w:ind w:firstLine="540"/>
        <w:rPr>
          <w:rFonts w:hAnsi="宋体"/>
        </w:rPr>
      </w:pPr>
      <w:r>
        <w:rPr>
          <w:rFonts w:hAnsi="宋体" w:hint="eastAsia"/>
        </w:rPr>
        <w:t>十一中维修改造费项目包括体育馆舞台灯光改造，室外</w:t>
      </w:r>
      <w:proofErr w:type="gramStart"/>
      <w:r>
        <w:rPr>
          <w:rFonts w:hAnsi="宋体" w:hint="eastAsia"/>
        </w:rPr>
        <w:t>篮</w:t>
      </w:r>
      <w:proofErr w:type="gramEnd"/>
      <w:r>
        <w:rPr>
          <w:rFonts w:hAnsi="宋体" w:hint="eastAsia"/>
        </w:rPr>
        <w:t>排球场及部分田径跑道塑胶维修，部分教室灯具采购，学生公寓维修改造，学生公寓储物柜采购，部分零星及应急维修工程。十一中消防安全设施更新改造项目主要内容为泵房土建、泵防水、排污泵及电器工程等内容。</w:t>
      </w:r>
    </w:p>
    <w:p w14:paraId="6A150DA3" w14:textId="77777777" w:rsidR="008E58E2" w:rsidRDefault="00772BFC">
      <w:pPr>
        <w:ind w:firstLine="540"/>
        <w:rPr>
          <w:rFonts w:hAnsi="宋体"/>
        </w:rPr>
      </w:pPr>
      <w:r>
        <w:rPr>
          <w:rFonts w:hAnsi="宋体" w:hint="eastAsia"/>
        </w:rPr>
        <w:t>三是淄博高新技术产业开发区第六</w:t>
      </w:r>
      <w:proofErr w:type="gramStart"/>
      <w:r>
        <w:rPr>
          <w:rFonts w:hAnsi="宋体" w:hint="eastAsia"/>
        </w:rPr>
        <w:t>小学消防</w:t>
      </w:r>
      <w:proofErr w:type="gramEnd"/>
      <w:r>
        <w:rPr>
          <w:rFonts w:hAnsi="宋体" w:hint="eastAsia"/>
        </w:rPr>
        <w:t>验收改造维修项目，项目主要包括1#、2#教学楼消防变更设计；向善楼、尚美楼电气防火检测；尚美楼、</w:t>
      </w:r>
      <w:proofErr w:type="gramStart"/>
      <w:r>
        <w:rPr>
          <w:rFonts w:hAnsi="宋体" w:hint="eastAsia"/>
        </w:rPr>
        <w:t>向善楼</w:t>
      </w:r>
      <w:proofErr w:type="gramEnd"/>
      <w:r>
        <w:rPr>
          <w:rFonts w:hAnsi="宋体" w:hint="eastAsia"/>
        </w:rPr>
        <w:t>消防设施安装检测；购买消防器材。项目全部完成并验收合格。</w:t>
      </w:r>
    </w:p>
    <w:p w14:paraId="44B90A8B" w14:textId="77777777" w:rsidR="008E58E2" w:rsidRDefault="00772BFC">
      <w:pPr>
        <w:ind w:firstLine="540"/>
        <w:rPr>
          <w:rFonts w:hAnsi="宋体"/>
        </w:rPr>
      </w:pPr>
      <w:r>
        <w:rPr>
          <w:rFonts w:hAnsi="宋体" w:hint="eastAsia"/>
        </w:rPr>
        <w:t>四是淄博高新技术产业开发区第七小学消防设施改造项目，主要对</w:t>
      </w:r>
      <w:proofErr w:type="gramStart"/>
      <w:r>
        <w:rPr>
          <w:rFonts w:hAnsi="宋体" w:hint="eastAsia"/>
        </w:rPr>
        <w:t>学校消防</w:t>
      </w:r>
      <w:proofErr w:type="gramEnd"/>
      <w:r>
        <w:rPr>
          <w:rFonts w:hAnsi="宋体" w:hint="eastAsia"/>
        </w:rPr>
        <w:t>泵房线路及配套设施等进行维修改造，项目完成验收合格并根据要求组织评审。</w:t>
      </w:r>
    </w:p>
    <w:p w14:paraId="09D658A8" w14:textId="77777777" w:rsidR="008E58E2" w:rsidRDefault="00772BFC">
      <w:pPr>
        <w:ind w:firstLine="540"/>
        <w:rPr>
          <w:rFonts w:hAnsi="宋体"/>
        </w:rPr>
      </w:pPr>
      <w:r>
        <w:rPr>
          <w:rFonts w:hAnsi="宋体" w:hint="eastAsia"/>
        </w:rPr>
        <w:t>五是淄博高新技术产业开发区实验</w:t>
      </w:r>
      <w:proofErr w:type="gramStart"/>
      <w:r>
        <w:rPr>
          <w:rFonts w:hAnsi="宋体" w:hint="eastAsia"/>
        </w:rPr>
        <w:t>小学消防</w:t>
      </w:r>
      <w:proofErr w:type="gramEnd"/>
      <w:r>
        <w:rPr>
          <w:rFonts w:hAnsi="宋体" w:hint="eastAsia"/>
        </w:rPr>
        <w:t>水池消防泵建设项目，主要包括消防泵房、水池、水箱等消防设施建设改造；电缆引线2</w:t>
      </w:r>
      <w:r>
        <w:rPr>
          <w:rFonts w:hAnsi="宋体"/>
        </w:rPr>
        <w:t>80</w:t>
      </w:r>
      <w:r>
        <w:rPr>
          <w:rFonts w:hAnsi="宋体" w:hint="eastAsia"/>
        </w:rPr>
        <w:t>米、旧水箱间改造；消防工程设计费。项目完成验收合格并根据要求组织评审。</w:t>
      </w:r>
    </w:p>
    <w:p w14:paraId="7F13D68E" w14:textId="77777777" w:rsidR="008E58E2" w:rsidRDefault="00772BFC">
      <w:pPr>
        <w:ind w:firstLine="540"/>
        <w:rPr>
          <w:rFonts w:hAnsi="宋体"/>
        </w:rPr>
      </w:pPr>
      <w:r>
        <w:rPr>
          <w:rFonts w:hAnsi="宋体" w:hint="eastAsia"/>
        </w:rPr>
        <w:t>2019年中小学消防改造及维修费项目，各学校依据《政府采购法》《招标投标法》《政府采购货物和服务招标投标管理办法》等文件要求以及学校内部管理制度组织实施。该项目涉及内容全部实施完成，并出</w:t>
      </w:r>
      <w:r>
        <w:rPr>
          <w:rFonts w:hAnsi="宋体" w:hint="eastAsia"/>
        </w:rPr>
        <w:lastRenderedPageBreak/>
        <w:t>具竣工验收单。</w:t>
      </w:r>
    </w:p>
    <w:p w14:paraId="371B0843" w14:textId="77777777" w:rsidR="008E58E2" w:rsidRDefault="00772BFC">
      <w:pPr>
        <w:ind w:firstLine="540"/>
      </w:pPr>
      <w:r>
        <w:rPr>
          <w:rFonts w:hint="eastAsia"/>
        </w:rPr>
        <w:t>（2）2019年幼儿园生均公用经费项目</w:t>
      </w:r>
    </w:p>
    <w:p w14:paraId="2318C3CA" w14:textId="77777777" w:rsidR="008E58E2" w:rsidRDefault="00772BFC">
      <w:pPr>
        <w:ind w:firstLine="540"/>
        <w:rPr>
          <w:rFonts w:hAnsi="宋体"/>
        </w:rPr>
      </w:pPr>
      <w:r>
        <w:rPr>
          <w:rFonts w:hAnsi="宋体" w:hint="eastAsia"/>
        </w:rPr>
        <w:t>根据区地事局、区财政局《关于高新区学前教育生均公用经费的实施方案》（</w:t>
      </w:r>
      <w:proofErr w:type="gramStart"/>
      <w:r>
        <w:rPr>
          <w:rFonts w:hAnsi="宋体" w:hint="eastAsia"/>
        </w:rPr>
        <w:t>淄</w:t>
      </w:r>
      <w:proofErr w:type="gramEnd"/>
      <w:r>
        <w:rPr>
          <w:rFonts w:hAnsi="宋体" w:hint="eastAsia"/>
        </w:rPr>
        <w:t>高新地事发</w:t>
      </w:r>
      <w:r>
        <w:rPr>
          <w:rFonts w:hAnsi="宋体" w:cs="宋体" w:hint="eastAsia"/>
        </w:rPr>
        <w:t>〔2019〕206号</w:t>
      </w:r>
      <w:r>
        <w:rPr>
          <w:rFonts w:hAnsi="宋体" w:hint="eastAsia"/>
        </w:rPr>
        <w:t>）及高新区</w:t>
      </w:r>
      <w:r>
        <w:rPr>
          <w:rFonts w:hAnsi="宋体" w:cs="宋体" w:hint="eastAsia"/>
        </w:rPr>
        <w:t>〔2018〕</w:t>
      </w:r>
      <w:r>
        <w:rPr>
          <w:rFonts w:hAnsi="宋体" w:hint="eastAsia"/>
        </w:rPr>
        <w:t>第9次工委会议纪要精神，结合省教育厅对惠普性民办园认定考核标准，高新区公办（包括公办性质）、普惠性民办幼儿园自2018年9月开始实施生均公用经费政策，按照每生月100元标准拨付。2018年9月-2019年2月份共有26所幼儿园享受生均公用经费政策，2019年3-6月份共有29所所幼儿园享受生均公用经费政策，2019年7-8月份共有30所所幼儿园享受生均公用经费政策，2019年9-12月份共有32所所幼儿园享受生均公用经费政策。</w:t>
      </w:r>
    </w:p>
    <w:p w14:paraId="081BE0DF" w14:textId="77777777" w:rsidR="008E58E2" w:rsidRDefault="00772BFC">
      <w:pPr>
        <w:ind w:firstLine="540"/>
        <w:rPr>
          <w:rFonts w:hAnsi="宋体"/>
        </w:rPr>
      </w:pPr>
      <w:r>
        <w:rPr>
          <w:rFonts w:hAnsi="宋体" w:hint="eastAsia"/>
        </w:rPr>
        <w:t>（3）2017-2019年26辆校车运行费项目</w:t>
      </w:r>
    </w:p>
    <w:p w14:paraId="308E7F3D" w14:textId="77777777" w:rsidR="008E58E2" w:rsidRDefault="00772BFC">
      <w:pPr>
        <w:ind w:firstLine="540"/>
        <w:rPr>
          <w:rFonts w:hAnsi="宋体"/>
        </w:rPr>
      </w:pPr>
      <w:r>
        <w:rPr>
          <w:rFonts w:hAnsi="宋体" w:hint="eastAsia"/>
        </w:rPr>
        <w:t>为方便小学生上下学、保障交通运输安全，经区财政局、区</w:t>
      </w:r>
      <w:proofErr w:type="gramStart"/>
      <w:r>
        <w:rPr>
          <w:rFonts w:hAnsi="宋体" w:hint="eastAsia"/>
        </w:rPr>
        <w:t>采购办</w:t>
      </w:r>
      <w:proofErr w:type="gramEnd"/>
      <w:r>
        <w:rPr>
          <w:rFonts w:hAnsi="宋体" w:hint="eastAsia"/>
        </w:rPr>
        <w:t>及区地方事业局共同调研决定委托淄博市公共汽车公司开发区分公司管理运营26辆校车。经区财政、区采购办、区审计局、区地事局共同分析确定每年运行费用223.2万元，2011年12月15日淄博高新区地方事业局与淄博市公共汽车公司开发区分公司签订《淄博高新区接送学生车辆委托运行合同》，在此期间对价格进行调整，调整为278.01万元。车辆运行期间发生的人员工资、燃油费、保养费、维修费等一切费用由淄博市公共汽车公司开发区分公司承担。</w:t>
      </w:r>
    </w:p>
    <w:p w14:paraId="65B411C9" w14:textId="77777777" w:rsidR="008E58E2" w:rsidRDefault="00772BFC">
      <w:pPr>
        <w:pStyle w:val="2"/>
        <w:ind w:firstLine="562"/>
      </w:pPr>
      <w:r>
        <w:rPr>
          <w:rFonts w:hint="eastAsia"/>
        </w:rPr>
        <w:t>（三）资金投入和使用情况</w:t>
      </w:r>
    </w:p>
    <w:p w14:paraId="481B48ED" w14:textId="77777777" w:rsidR="008E58E2" w:rsidRDefault="00772BFC">
      <w:pPr>
        <w:ind w:firstLine="540"/>
        <w:rPr>
          <w:rFonts w:hAnsi="宋体" w:cs="宋体"/>
        </w:rPr>
      </w:pPr>
      <w:bookmarkStart w:id="9" w:name="_Hlk47546646"/>
      <w:r>
        <w:rPr>
          <w:rFonts w:hAnsi="宋体" w:cs="宋体" w:hint="eastAsia"/>
        </w:rPr>
        <w:t>中小学消防改造、幼儿园生均公用经费及2017-2019年校车运行费项目预算资金</w:t>
      </w:r>
      <w:r>
        <w:rPr>
          <w:rFonts w:hAnsi="宋体" w:cs="宋体"/>
        </w:rPr>
        <w:t>2473.06</w:t>
      </w:r>
      <w:r>
        <w:rPr>
          <w:rFonts w:hAnsi="宋体" w:cs="宋体" w:hint="eastAsia"/>
        </w:rPr>
        <w:t>万元（区级资金2</w:t>
      </w:r>
      <w:r>
        <w:rPr>
          <w:rFonts w:hAnsi="宋体" w:cs="宋体"/>
        </w:rPr>
        <w:t>448.52</w:t>
      </w:r>
      <w:r>
        <w:rPr>
          <w:rFonts w:hAnsi="宋体" w:cs="宋体" w:hint="eastAsia"/>
        </w:rPr>
        <w:t>万元，上级资金2</w:t>
      </w:r>
      <w:r>
        <w:rPr>
          <w:rFonts w:hAnsi="宋体" w:cs="宋体"/>
        </w:rPr>
        <w:t>4.54</w:t>
      </w:r>
      <w:r>
        <w:rPr>
          <w:rFonts w:hAnsi="宋体" w:cs="宋体" w:hint="eastAsia"/>
        </w:rPr>
        <w:t>万元），其中2019年中小学消防改造及维修费872.62万元，2019年幼儿园生均公用经费783.07万元，</w:t>
      </w:r>
      <w:bookmarkStart w:id="10" w:name="_Hlk47715814"/>
      <w:r>
        <w:rPr>
          <w:rFonts w:hAnsi="宋体" w:cs="宋体" w:hint="eastAsia"/>
        </w:rPr>
        <w:t>2017-2019年26辆校车运行费817.37万元</w:t>
      </w:r>
      <w:bookmarkEnd w:id="10"/>
      <w:r>
        <w:rPr>
          <w:rFonts w:hAnsi="宋体" w:cs="宋体" w:hint="eastAsia"/>
        </w:rPr>
        <w:t>。</w:t>
      </w:r>
    </w:p>
    <w:p w14:paraId="59C97E11" w14:textId="77777777" w:rsidR="008E58E2" w:rsidRDefault="00772BFC">
      <w:pPr>
        <w:ind w:firstLineChars="0" w:firstLine="0"/>
        <w:jc w:val="center"/>
        <w:rPr>
          <w:rFonts w:hAnsi="宋体" w:cs="宋体"/>
          <w:sz w:val="24"/>
          <w:szCs w:val="24"/>
        </w:rPr>
      </w:pPr>
      <w:bookmarkStart w:id="11" w:name="_Hlk53068083"/>
      <w:r>
        <w:rPr>
          <w:rFonts w:hAnsi="宋体" w:cs="宋体" w:hint="eastAsia"/>
          <w:sz w:val="24"/>
          <w:szCs w:val="24"/>
        </w:rPr>
        <w:lastRenderedPageBreak/>
        <w:t>2019年中小学消防改造及维修费项目</w:t>
      </w:r>
      <w:bookmarkEnd w:id="11"/>
      <w:r>
        <w:rPr>
          <w:rFonts w:hAnsi="宋体" w:cs="宋体" w:hint="eastAsia"/>
          <w:sz w:val="24"/>
          <w:szCs w:val="24"/>
        </w:rPr>
        <w:t>资金明细表</w:t>
      </w:r>
    </w:p>
    <w:p w14:paraId="21F64771" w14:textId="77777777" w:rsidR="008E58E2" w:rsidRDefault="00772BFC">
      <w:pPr>
        <w:ind w:firstLineChars="0" w:firstLine="0"/>
        <w:jc w:val="center"/>
        <w:rPr>
          <w:rFonts w:hAnsi="宋体" w:cs="宋体"/>
          <w:sz w:val="24"/>
          <w:szCs w:val="24"/>
        </w:rPr>
      </w:pPr>
      <w:r>
        <w:rPr>
          <w:rFonts w:hAnsi="宋体" w:cs="宋体" w:hint="eastAsia"/>
          <w:sz w:val="24"/>
          <w:szCs w:val="24"/>
        </w:rPr>
        <w:t xml:space="preserve"> </w:t>
      </w:r>
      <w:r>
        <w:rPr>
          <w:rFonts w:hAnsi="宋体" w:cs="宋体"/>
          <w:sz w:val="24"/>
          <w:szCs w:val="24"/>
        </w:rPr>
        <w:t xml:space="preserve">                                     </w:t>
      </w:r>
      <w:r>
        <w:rPr>
          <w:rFonts w:hAnsi="宋体" w:cs="宋体" w:hint="eastAsia"/>
          <w:sz w:val="24"/>
          <w:szCs w:val="24"/>
        </w:rPr>
        <w:t>单位：元</w:t>
      </w:r>
    </w:p>
    <w:tbl>
      <w:tblPr>
        <w:tblW w:w="8500" w:type="dxa"/>
        <w:tblInd w:w="113" w:type="dxa"/>
        <w:tblLook w:val="04A0" w:firstRow="1" w:lastRow="0" w:firstColumn="1" w:lastColumn="0" w:noHBand="0" w:noVBand="1"/>
      </w:tblPr>
      <w:tblGrid>
        <w:gridCol w:w="5524"/>
        <w:gridCol w:w="2976"/>
      </w:tblGrid>
      <w:tr w:rsidR="008E58E2" w14:paraId="00C5E1E5" w14:textId="77777777">
        <w:trPr>
          <w:trHeight w:val="510"/>
          <w:tblHeader/>
        </w:trPr>
        <w:tc>
          <w:tcPr>
            <w:tcW w:w="5524" w:type="dxa"/>
            <w:tcBorders>
              <w:top w:val="single" w:sz="4" w:space="0" w:color="auto"/>
              <w:left w:val="single" w:sz="4" w:space="0" w:color="auto"/>
              <w:bottom w:val="single" w:sz="4" w:space="0" w:color="auto"/>
              <w:right w:val="single" w:sz="4" w:space="0" w:color="auto"/>
            </w:tcBorders>
            <w:noWrap/>
            <w:vAlign w:val="center"/>
          </w:tcPr>
          <w:p w14:paraId="001F77CC" w14:textId="77777777" w:rsidR="008E58E2" w:rsidRDefault="00772BFC">
            <w:pPr>
              <w:widowControl/>
              <w:adjustRightInd/>
              <w:snapToGrid/>
              <w:spacing w:line="240" w:lineRule="auto"/>
              <w:ind w:firstLineChars="0" w:firstLine="0"/>
              <w:jc w:val="center"/>
              <w:rPr>
                <w:rFonts w:hAnsi="宋体" w:cs="宋体"/>
                <w:sz w:val="21"/>
                <w:szCs w:val="21"/>
              </w:rPr>
            </w:pPr>
            <w:bookmarkStart w:id="12" w:name="_Hlk51087338"/>
            <w:r>
              <w:rPr>
                <w:rFonts w:hAnsi="宋体" w:cs="宋体" w:hint="eastAsia"/>
                <w:sz w:val="21"/>
                <w:szCs w:val="21"/>
              </w:rPr>
              <w:t>项目名称</w:t>
            </w:r>
          </w:p>
        </w:tc>
        <w:tc>
          <w:tcPr>
            <w:tcW w:w="2976" w:type="dxa"/>
            <w:tcBorders>
              <w:top w:val="single" w:sz="4" w:space="0" w:color="auto"/>
              <w:left w:val="nil"/>
              <w:bottom w:val="single" w:sz="4" w:space="0" w:color="auto"/>
              <w:right w:val="single" w:sz="4" w:space="0" w:color="auto"/>
            </w:tcBorders>
            <w:noWrap/>
            <w:vAlign w:val="center"/>
          </w:tcPr>
          <w:p w14:paraId="524373FF" w14:textId="77777777" w:rsidR="008E58E2" w:rsidRDefault="00772BFC">
            <w:pPr>
              <w:widowControl/>
              <w:adjustRightInd/>
              <w:snapToGrid/>
              <w:spacing w:line="240" w:lineRule="auto"/>
              <w:ind w:firstLineChars="0" w:firstLine="0"/>
              <w:jc w:val="center"/>
              <w:rPr>
                <w:rFonts w:hAnsi="宋体" w:cs="宋体"/>
                <w:sz w:val="21"/>
                <w:szCs w:val="21"/>
              </w:rPr>
            </w:pPr>
            <w:r>
              <w:rPr>
                <w:rFonts w:hAnsi="宋体" w:cs="宋体" w:hint="eastAsia"/>
                <w:sz w:val="21"/>
                <w:szCs w:val="21"/>
              </w:rPr>
              <w:t>项目资金</w:t>
            </w:r>
          </w:p>
        </w:tc>
      </w:tr>
      <w:tr w:rsidR="008E58E2" w14:paraId="3B2EC3A4" w14:textId="77777777">
        <w:trPr>
          <w:trHeight w:val="510"/>
        </w:trPr>
        <w:tc>
          <w:tcPr>
            <w:tcW w:w="5524" w:type="dxa"/>
            <w:tcBorders>
              <w:top w:val="nil"/>
              <w:left w:val="single" w:sz="4" w:space="0" w:color="auto"/>
              <w:bottom w:val="single" w:sz="4" w:space="0" w:color="auto"/>
              <w:right w:val="single" w:sz="4" w:space="0" w:color="auto"/>
            </w:tcBorders>
            <w:noWrap/>
            <w:vAlign w:val="center"/>
          </w:tcPr>
          <w:p w14:paraId="4277D167" w14:textId="77777777" w:rsidR="008E58E2" w:rsidRDefault="00772BFC">
            <w:pPr>
              <w:widowControl/>
              <w:adjustRightInd/>
              <w:snapToGrid/>
              <w:spacing w:line="240" w:lineRule="auto"/>
              <w:ind w:firstLineChars="0" w:firstLine="0"/>
              <w:jc w:val="center"/>
              <w:rPr>
                <w:rFonts w:hAnsi="宋体" w:cs="宋体"/>
                <w:sz w:val="21"/>
                <w:szCs w:val="21"/>
              </w:rPr>
            </w:pPr>
            <w:r>
              <w:rPr>
                <w:rFonts w:hAnsi="宋体" w:cs="宋体" w:hint="eastAsia"/>
                <w:sz w:val="21"/>
                <w:szCs w:val="21"/>
              </w:rPr>
              <w:t>实验</w:t>
            </w:r>
            <w:proofErr w:type="gramStart"/>
            <w:r>
              <w:rPr>
                <w:rFonts w:hAnsi="宋体" w:cs="宋体" w:hint="eastAsia"/>
                <w:sz w:val="21"/>
                <w:szCs w:val="21"/>
              </w:rPr>
              <w:t>中学消防</w:t>
            </w:r>
            <w:proofErr w:type="gramEnd"/>
            <w:r>
              <w:rPr>
                <w:rFonts w:hAnsi="宋体" w:cs="宋体" w:hint="eastAsia"/>
                <w:sz w:val="21"/>
                <w:szCs w:val="21"/>
              </w:rPr>
              <w:t>安全评估检测维保维修管理</w:t>
            </w:r>
          </w:p>
        </w:tc>
        <w:tc>
          <w:tcPr>
            <w:tcW w:w="2976" w:type="dxa"/>
            <w:tcBorders>
              <w:top w:val="nil"/>
              <w:left w:val="nil"/>
              <w:bottom w:val="single" w:sz="4" w:space="0" w:color="auto"/>
              <w:right w:val="single" w:sz="4" w:space="0" w:color="auto"/>
            </w:tcBorders>
            <w:noWrap/>
            <w:vAlign w:val="center"/>
          </w:tcPr>
          <w:p w14:paraId="09A933A4" w14:textId="77777777" w:rsidR="008E58E2" w:rsidRDefault="00772BFC">
            <w:pPr>
              <w:widowControl/>
              <w:adjustRightInd/>
              <w:snapToGrid/>
              <w:spacing w:line="240" w:lineRule="auto"/>
              <w:ind w:firstLineChars="0" w:firstLine="0"/>
              <w:jc w:val="center"/>
              <w:rPr>
                <w:rFonts w:hAnsi="宋体" w:cs="宋体"/>
                <w:sz w:val="21"/>
                <w:szCs w:val="21"/>
              </w:rPr>
            </w:pPr>
            <w:r>
              <w:rPr>
                <w:rFonts w:hAnsi="宋体" w:cs="宋体" w:hint="eastAsia"/>
                <w:sz w:val="21"/>
                <w:szCs w:val="21"/>
              </w:rPr>
              <w:t>880707.6</w:t>
            </w:r>
          </w:p>
        </w:tc>
      </w:tr>
      <w:tr w:rsidR="008E58E2" w14:paraId="422CA5B0" w14:textId="77777777">
        <w:trPr>
          <w:trHeight w:val="510"/>
        </w:trPr>
        <w:tc>
          <w:tcPr>
            <w:tcW w:w="5524" w:type="dxa"/>
            <w:tcBorders>
              <w:top w:val="nil"/>
              <w:left w:val="single" w:sz="4" w:space="0" w:color="auto"/>
              <w:bottom w:val="single" w:sz="4" w:space="0" w:color="auto"/>
              <w:right w:val="single" w:sz="4" w:space="0" w:color="auto"/>
            </w:tcBorders>
            <w:noWrap/>
            <w:vAlign w:val="center"/>
          </w:tcPr>
          <w:p w14:paraId="0C1432BD" w14:textId="77777777" w:rsidR="008E58E2" w:rsidRDefault="00772BFC">
            <w:pPr>
              <w:widowControl/>
              <w:adjustRightInd/>
              <w:snapToGrid/>
              <w:spacing w:line="240" w:lineRule="auto"/>
              <w:ind w:firstLineChars="0" w:firstLine="0"/>
              <w:jc w:val="center"/>
              <w:rPr>
                <w:rFonts w:hAnsi="宋体" w:cs="宋体"/>
                <w:sz w:val="21"/>
                <w:szCs w:val="21"/>
              </w:rPr>
            </w:pPr>
            <w:r>
              <w:rPr>
                <w:rFonts w:hAnsi="宋体" w:cs="宋体" w:hint="eastAsia"/>
                <w:sz w:val="21"/>
                <w:szCs w:val="21"/>
              </w:rPr>
              <w:t>实验中学校舍维修费（每平方8元）</w:t>
            </w:r>
          </w:p>
        </w:tc>
        <w:tc>
          <w:tcPr>
            <w:tcW w:w="2976" w:type="dxa"/>
            <w:tcBorders>
              <w:top w:val="nil"/>
              <w:left w:val="nil"/>
              <w:bottom w:val="single" w:sz="4" w:space="0" w:color="auto"/>
              <w:right w:val="single" w:sz="4" w:space="0" w:color="auto"/>
            </w:tcBorders>
            <w:noWrap/>
            <w:vAlign w:val="center"/>
          </w:tcPr>
          <w:p w14:paraId="7DEB2D0F" w14:textId="77777777" w:rsidR="008E58E2" w:rsidRDefault="00772BFC">
            <w:pPr>
              <w:widowControl/>
              <w:adjustRightInd/>
              <w:snapToGrid/>
              <w:spacing w:line="240" w:lineRule="auto"/>
              <w:ind w:firstLineChars="0" w:firstLine="0"/>
              <w:jc w:val="center"/>
              <w:rPr>
                <w:rFonts w:hAnsi="宋体" w:cs="宋体"/>
                <w:sz w:val="21"/>
                <w:szCs w:val="21"/>
              </w:rPr>
            </w:pPr>
            <w:r>
              <w:rPr>
                <w:rFonts w:hAnsi="宋体" w:cs="宋体" w:hint="eastAsia"/>
                <w:sz w:val="21"/>
                <w:szCs w:val="21"/>
              </w:rPr>
              <w:t>480935.41</w:t>
            </w:r>
          </w:p>
        </w:tc>
      </w:tr>
      <w:tr w:rsidR="008E58E2" w14:paraId="4A189C09" w14:textId="77777777">
        <w:trPr>
          <w:trHeight w:val="510"/>
        </w:trPr>
        <w:tc>
          <w:tcPr>
            <w:tcW w:w="5524" w:type="dxa"/>
            <w:tcBorders>
              <w:top w:val="nil"/>
              <w:left w:val="single" w:sz="4" w:space="0" w:color="auto"/>
              <w:bottom w:val="single" w:sz="4" w:space="0" w:color="auto"/>
              <w:right w:val="single" w:sz="4" w:space="0" w:color="auto"/>
            </w:tcBorders>
            <w:noWrap/>
            <w:vAlign w:val="center"/>
          </w:tcPr>
          <w:p w14:paraId="45DD39E9" w14:textId="77777777" w:rsidR="008E58E2" w:rsidRDefault="00772BFC">
            <w:pPr>
              <w:widowControl/>
              <w:adjustRightInd/>
              <w:snapToGrid/>
              <w:spacing w:line="240" w:lineRule="auto"/>
              <w:ind w:firstLineChars="0" w:firstLine="0"/>
              <w:jc w:val="center"/>
              <w:rPr>
                <w:rFonts w:hAnsi="宋体" w:cs="宋体"/>
                <w:sz w:val="21"/>
                <w:szCs w:val="21"/>
              </w:rPr>
            </w:pPr>
            <w:r>
              <w:rPr>
                <w:rFonts w:hAnsi="宋体" w:cs="宋体" w:hint="eastAsia"/>
                <w:sz w:val="21"/>
                <w:szCs w:val="21"/>
              </w:rPr>
              <w:t>实验</w:t>
            </w:r>
            <w:proofErr w:type="gramStart"/>
            <w:r>
              <w:rPr>
                <w:rFonts w:hAnsi="宋体" w:cs="宋体" w:hint="eastAsia"/>
                <w:sz w:val="21"/>
                <w:szCs w:val="21"/>
              </w:rPr>
              <w:t>中学深改项目</w:t>
            </w:r>
            <w:proofErr w:type="gramEnd"/>
            <w:r>
              <w:rPr>
                <w:rFonts w:hAnsi="宋体" w:cs="宋体" w:hint="eastAsia"/>
                <w:sz w:val="21"/>
                <w:szCs w:val="21"/>
              </w:rPr>
              <w:t>（文明校园创建）</w:t>
            </w:r>
          </w:p>
        </w:tc>
        <w:tc>
          <w:tcPr>
            <w:tcW w:w="2976" w:type="dxa"/>
            <w:tcBorders>
              <w:top w:val="nil"/>
              <w:left w:val="nil"/>
              <w:bottom w:val="single" w:sz="4" w:space="0" w:color="auto"/>
              <w:right w:val="single" w:sz="4" w:space="0" w:color="auto"/>
            </w:tcBorders>
            <w:noWrap/>
            <w:vAlign w:val="center"/>
          </w:tcPr>
          <w:p w14:paraId="53038BD7" w14:textId="77777777" w:rsidR="008E58E2" w:rsidRDefault="00772BFC">
            <w:pPr>
              <w:widowControl/>
              <w:adjustRightInd/>
              <w:snapToGrid/>
              <w:spacing w:line="240" w:lineRule="auto"/>
              <w:ind w:firstLineChars="0" w:firstLine="0"/>
              <w:jc w:val="center"/>
              <w:rPr>
                <w:rFonts w:hAnsi="宋体" w:cs="宋体"/>
                <w:sz w:val="21"/>
                <w:szCs w:val="21"/>
              </w:rPr>
            </w:pPr>
            <w:r>
              <w:rPr>
                <w:rFonts w:hAnsi="宋体" w:cs="宋体" w:hint="eastAsia"/>
                <w:sz w:val="21"/>
                <w:szCs w:val="21"/>
              </w:rPr>
              <w:t>400000</w:t>
            </w:r>
          </w:p>
        </w:tc>
      </w:tr>
      <w:tr w:rsidR="008E58E2" w14:paraId="31797E56" w14:textId="77777777">
        <w:trPr>
          <w:trHeight w:val="510"/>
        </w:trPr>
        <w:tc>
          <w:tcPr>
            <w:tcW w:w="5524" w:type="dxa"/>
            <w:tcBorders>
              <w:top w:val="nil"/>
              <w:left w:val="single" w:sz="4" w:space="0" w:color="auto"/>
              <w:bottom w:val="single" w:sz="4" w:space="0" w:color="auto"/>
              <w:right w:val="single" w:sz="4" w:space="0" w:color="auto"/>
            </w:tcBorders>
            <w:noWrap/>
            <w:vAlign w:val="center"/>
          </w:tcPr>
          <w:p w14:paraId="2D26D272" w14:textId="77777777" w:rsidR="008E58E2" w:rsidRDefault="00772BFC">
            <w:pPr>
              <w:widowControl/>
              <w:adjustRightInd/>
              <w:snapToGrid/>
              <w:spacing w:line="240" w:lineRule="auto"/>
              <w:ind w:firstLineChars="0" w:firstLine="0"/>
              <w:jc w:val="center"/>
              <w:rPr>
                <w:rFonts w:hAnsi="宋体" w:cs="宋体"/>
                <w:b/>
                <w:bCs/>
                <w:sz w:val="21"/>
                <w:szCs w:val="21"/>
              </w:rPr>
            </w:pPr>
            <w:r>
              <w:rPr>
                <w:rFonts w:hAnsi="宋体" w:cs="宋体" w:hint="eastAsia"/>
                <w:b/>
                <w:bCs/>
                <w:sz w:val="21"/>
                <w:szCs w:val="21"/>
              </w:rPr>
              <w:t>实验中学小计</w:t>
            </w:r>
          </w:p>
        </w:tc>
        <w:tc>
          <w:tcPr>
            <w:tcW w:w="2976" w:type="dxa"/>
            <w:tcBorders>
              <w:top w:val="nil"/>
              <w:left w:val="nil"/>
              <w:bottom w:val="single" w:sz="4" w:space="0" w:color="auto"/>
              <w:right w:val="single" w:sz="4" w:space="0" w:color="auto"/>
            </w:tcBorders>
            <w:noWrap/>
            <w:vAlign w:val="center"/>
          </w:tcPr>
          <w:p w14:paraId="45643CB3" w14:textId="77777777" w:rsidR="008E58E2" w:rsidRDefault="00772BFC">
            <w:pPr>
              <w:widowControl/>
              <w:adjustRightInd/>
              <w:snapToGrid/>
              <w:spacing w:line="240" w:lineRule="auto"/>
              <w:ind w:firstLineChars="0" w:firstLine="0"/>
              <w:jc w:val="center"/>
              <w:rPr>
                <w:rFonts w:hAnsi="宋体" w:cs="宋体"/>
                <w:b/>
                <w:bCs/>
                <w:sz w:val="21"/>
                <w:szCs w:val="21"/>
              </w:rPr>
            </w:pPr>
            <w:r>
              <w:rPr>
                <w:rFonts w:hAnsi="宋体" w:cs="宋体" w:hint="eastAsia"/>
                <w:b/>
                <w:bCs/>
                <w:sz w:val="21"/>
                <w:szCs w:val="21"/>
              </w:rPr>
              <w:t>1761643.01</w:t>
            </w:r>
          </w:p>
        </w:tc>
      </w:tr>
      <w:tr w:rsidR="008E58E2" w14:paraId="2BB6E6BD" w14:textId="77777777">
        <w:trPr>
          <w:trHeight w:val="510"/>
        </w:trPr>
        <w:tc>
          <w:tcPr>
            <w:tcW w:w="5524" w:type="dxa"/>
            <w:tcBorders>
              <w:top w:val="nil"/>
              <w:left w:val="single" w:sz="4" w:space="0" w:color="auto"/>
              <w:bottom w:val="single" w:sz="4" w:space="0" w:color="auto"/>
              <w:right w:val="single" w:sz="4" w:space="0" w:color="auto"/>
            </w:tcBorders>
            <w:noWrap/>
            <w:vAlign w:val="center"/>
          </w:tcPr>
          <w:p w14:paraId="1CF084E2" w14:textId="77777777" w:rsidR="008E58E2" w:rsidRDefault="00772BFC">
            <w:pPr>
              <w:widowControl/>
              <w:adjustRightInd/>
              <w:snapToGrid/>
              <w:spacing w:line="240" w:lineRule="auto"/>
              <w:ind w:firstLineChars="0" w:firstLine="0"/>
              <w:jc w:val="center"/>
              <w:rPr>
                <w:rFonts w:hAnsi="宋体" w:cs="宋体"/>
                <w:sz w:val="21"/>
                <w:szCs w:val="21"/>
              </w:rPr>
            </w:pPr>
            <w:r>
              <w:rPr>
                <w:rFonts w:hAnsi="宋体" w:cs="宋体" w:hint="eastAsia"/>
                <w:sz w:val="21"/>
                <w:szCs w:val="21"/>
              </w:rPr>
              <w:t>十一中</w:t>
            </w:r>
            <w:bookmarkStart w:id="13" w:name="_Hlk47715110"/>
            <w:r>
              <w:rPr>
                <w:rFonts w:hAnsi="宋体" w:cs="宋体" w:hint="eastAsia"/>
                <w:sz w:val="21"/>
                <w:szCs w:val="21"/>
              </w:rPr>
              <w:t>维修改造费</w:t>
            </w:r>
            <w:bookmarkEnd w:id="13"/>
          </w:p>
        </w:tc>
        <w:tc>
          <w:tcPr>
            <w:tcW w:w="2976" w:type="dxa"/>
            <w:tcBorders>
              <w:top w:val="nil"/>
              <w:left w:val="nil"/>
              <w:bottom w:val="single" w:sz="4" w:space="0" w:color="auto"/>
              <w:right w:val="single" w:sz="4" w:space="0" w:color="auto"/>
            </w:tcBorders>
            <w:noWrap/>
            <w:vAlign w:val="center"/>
          </w:tcPr>
          <w:p w14:paraId="52268B32" w14:textId="77777777" w:rsidR="008E58E2" w:rsidRDefault="00772BFC">
            <w:pPr>
              <w:widowControl/>
              <w:adjustRightInd/>
              <w:snapToGrid/>
              <w:spacing w:line="240" w:lineRule="auto"/>
              <w:ind w:firstLineChars="0" w:firstLine="0"/>
              <w:jc w:val="center"/>
              <w:rPr>
                <w:rFonts w:hAnsi="宋体" w:cs="宋体"/>
                <w:sz w:val="21"/>
                <w:szCs w:val="21"/>
              </w:rPr>
            </w:pPr>
            <w:r>
              <w:rPr>
                <w:rFonts w:hAnsi="宋体" w:cs="宋体" w:hint="eastAsia"/>
                <w:sz w:val="21"/>
                <w:szCs w:val="21"/>
              </w:rPr>
              <w:t>3929917.67</w:t>
            </w:r>
          </w:p>
        </w:tc>
      </w:tr>
      <w:tr w:rsidR="008E58E2" w14:paraId="7F250132" w14:textId="77777777">
        <w:trPr>
          <w:trHeight w:val="510"/>
        </w:trPr>
        <w:tc>
          <w:tcPr>
            <w:tcW w:w="5524" w:type="dxa"/>
            <w:tcBorders>
              <w:top w:val="nil"/>
              <w:left w:val="single" w:sz="4" w:space="0" w:color="auto"/>
              <w:bottom w:val="single" w:sz="4" w:space="0" w:color="auto"/>
              <w:right w:val="single" w:sz="4" w:space="0" w:color="auto"/>
            </w:tcBorders>
            <w:noWrap/>
            <w:vAlign w:val="center"/>
          </w:tcPr>
          <w:p w14:paraId="22BEB7E1" w14:textId="77777777" w:rsidR="008E58E2" w:rsidRDefault="00772BFC">
            <w:pPr>
              <w:widowControl/>
              <w:adjustRightInd/>
              <w:snapToGrid/>
              <w:spacing w:line="240" w:lineRule="auto"/>
              <w:ind w:firstLineChars="0" w:firstLine="0"/>
              <w:jc w:val="center"/>
              <w:rPr>
                <w:rFonts w:hAnsi="宋体" w:cs="宋体"/>
                <w:sz w:val="21"/>
                <w:szCs w:val="21"/>
              </w:rPr>
            </w:pPr>
            <w:r>
              <w:rPr>
                <w:rFonts w:hAnsi="宋体" w:cs="宋体" w:hint="eastAsia"/>
                <w:sz w:val="21"/>
                <w:szCs w:val="21"/>
              </w:rPr>
              <w:t>十一中</w:t>
            </w:r>
            <w:bookmarkStart w:id="14" w:name="_Hlk47715303"/>
            <w:r>
              <w:rPr>
                <w:rFonts w:hAnsi="宋体" w:cs="宋体" w:hint="eastAsia"/>
                <w:sz w:val="21"/>
                <w:szCs w:val="21"/>
              </w:rPr>
              <w:t>消防安全设施更新改造</w:t>
            </w:r>
            <w:bookmarkEnd w:id="14"/>
          </w:p>
        </w:tc>
        <w:tc>
          <w:tcPr>
            <w:tcW w:w="2976" w:type="dxa"/>
            <w:tcBorders>
              <w:top w:val="nil"/>
              <w:left w:val="nil"/>
              <w:bottom w:val="single" w:sz="4" w:space="0" w:color="auto"/>
              <w:right w:val="single" w:sz="4" w:space="0" w:color="auto"/>
            </w:tcBorders>
            <w:noWrap/>
            <w:vAlign w:val="center"/>
          </w:tcPr>
          <w:p w14:paraId="09A0F6B4" w14:textId="77777777" w:rsidR="008E58E2" w:rsidRDefault="00772BFC">
            <w:pPr>
              <w:widowControl/>
              <w:adjustRightInd/>
              <w:snapToGrid/>
              <w:spacing w:line="240" w:lineRule="auto"/>
              <w:ind w:firstLineChars="0" w:firstLine="0"/>
              <w:jc w:val="center"/>
              <w:rPr>
                <w:rFonts w:hAnsi="宋体" w:cs="宋体"/>
                <w:sz w:val="21"/>
                <w:szCs w:val="21"/>
              </w:rPr>
            </w:pPr>
            <w:r>
              <w:rPr>
                <w:rFonts w:hAnsi="宋体" w:cs="宋体" w:hint="eastAsia"/>
                <w:sz w:val="21"/>
                <w:szCs w:val="21"/>
              </w:rPr>
              <w:t>977554.62</w:t>
            </w:r>
          </w:p>
        </w:tc>
      </w:tr>
      <w:tr w:rsidR="008E58E2" w14:paraId="75EC57A6" w14:textId="77777777">
        <w:trPr>
          <w:trHeight w:val="510"/>
        </w:trPr>
        <w:tc>
          <w:tcPr>
            <w:tcW w:w="5524" w:type="dxa"/>
            <w:tcBorders>
              <w:top w:val="nil"/>
              <w:left w:val="single" w:sz="4" w:space="0" w:color="auto"/>
              <w:bottom w:val="single" w:sz="4" w:space="0" w:color="auto"/>
              <w:right w:val="single" w:sz="4" w:space="0" w:color="auto"/>
            </w:tcBorders>
            <w:noWrap/>
            <w:vAlign w:val="center"/>
          </w:tcPr>
          <w:p w14:paraId="49ABE901" w14:textId="77777777" w:rsidR="008E58E2" w:rsidRDefault="00772BFC">
            <w:pPr>
              <w:widowControl/>
              <w:adjustRightInd/>
              <w:snapToGrid/>
              <w:spacing w:line="240" w:lineRule="auto"/>
              <w:ind w:firstLineChars="0" w:firstLine="0"/>
              <w:jc w:val="center"/>
              <w:rPr>
                <w:rFonts w:hAnsi="宋体" w:cs="宋体"/>
                <w:b/>
                <w:bCs/>
                <w:sz w:val="21"/>
                <w:szCs w:val="21"/>
              </w:rPr>
            </w:pPr>
            <w:r>
              <w:rPr>
                <w:rFonts w:hAnsi="宋体" w:cs="宋体" w:hint="eastAsia"/>
                <w:b/>
                <w:bCs/>
                <w:sz w:val="21"/>
                <w:szCs w:val="21"/>
              </w:rPr>
              <w:t>十一中小计</w:t>
            </w:r>
          </w:p>
        </w:tc>
        <w:tc>
          <w:tcPr>
            <w:tcW w:w="2976" w:type="dxa"/>
            <w:tcBorders>
              <w:top w:val="nil"/>
              <w:left w:val="nil"/>
              <w:bottom w:val="single" w:sz="4" w:space="0" w:color="auto"/>
              <w:right w:val="single" w:sz="4" w:space="0" w:color="auto"/>
            </w:tcBorders>
            <w:noWrap/>
            <w:vAlign w:val="center"/>
          </w:tcPr>
          <w:p w14:paraId="63169F5B" w14:textId="77777777" w:rsidR="008E58E2" w:rsidRDefault="00772BFC">
            <w:pPr>
              <w:widowControl/>
              <w:adjustRightInd/>
              <w:snapToGrid/>
              <w:spacing w:line="240" w:lineRule="auto"/>
              <w:ind w:firstLineChars="0" w:firstLine="0"/>
              <w:jc w:val="center"/>
              <w:rPr>
                <w:rFonts w:hAnsi="宋体" w:cs="宋体"/>
                <w:b/>
                <w:bCs/>
                <w:sz w:val="21"/>
                <w:szCs w:val="21"/>
              </w:rPr>
            </w:pPr>
            <w:r>
              <w:rPr>
                <w:rFonts w:hAnsi="宋体" w:cs="宋体" w:hint="eastAsia"/>
                <w:b/>
                <w:bCs/>
                <w:sz w:val="21"/>
                <w:szCs w:val="21"/>
              </w:rPr>
              <w:t>4907472.29</w:t>
            </w:r>
          </w:p>
        </w:tc>
      </w:tr>
      <w:tr w:rsidR="008E58E2" w14:paraId="3DCA5B3E" w14:textId="77777777">
        <w:trPr>
          <w:trHeight w:val="510"/>
        </w:trPr>
        <w:tc>
          <w:tcPr>
            <w:tcW w:w="5524" w:type="dxa"/>
            <w:tcBorders>
              <w:top w:val="nil"/>
              <w:left w:val="single" w:sz="4" w:space="0" w:color="auto"/>
              <w:bottom w:val="single" w:sz="4" w:space="0" w:color="auto"/>
              <w:right w:val="single" w:sz="4" w:space="0" w:color="auto"/>
            </w:tcBorders>
            <w:noWrap/>
            <w:vAlign w:val="center"/>
          </w:tcPr>
          <w:p w14:paraId="06EB633C" w14:textId="77777777" w:rsidR="008E58E2" w:rsidRDefault="00772BFC">
            <w:pPr>
              <w:widowControl/>
              <w:adjustRightInd/>
              <w:snapToGrid/>
              <w:spacing w:line="240" w:lineRule="auto"/>
              <w:ind w:firstLineChars="0" w:firstLine="0"/>
              <w:jc w:val="center"/>
              <w:rPr>
                <w:rFonts w:hAnsi="宋体" w:cs="宋体"/>
                <w:sz w:val="21"/>
                <w:szCs w:val="21"/>
              </w:rPr>
            </w:pPr>
            <w:r>
              <w:rPr>
                <w:rFonts w:hAnsi="宋体" w:cs="宋体" w:hint="eastAsia"/>
                <w:sz w:val="21"/>
                <w:szCs w:val="21"/>
              </w:rPr>
              <w:t>六小消防验收改造维修</w:t>
            </w:r>
          </w:p>
        </w:tc>
        <w:tc>
          <w:tcPr>
            <w:tcW w:w="2976" w:type="dxa"/>
            <w:tcBorders>
              <w:top w:val="nil"/>
              <w:left w:val="nil"/>
              <w:bottom w:val="single" w:sz="4" w:space="0" w:color="auto"/>
              <w:right w:val="single" w:sz="4" w:space="0" w:color="auto"/>
            </w:tcBorders>
            <w:noWrap/>
            <w:vAlign w:val="center"/>
          </w:tcPr>
          <w:p w14:paraId="0F4AA5E1" w14:textId="77777777" w:rsidR="008E58E2" w:rsidRDefault="00772BFC">
            <w:pPr>
              <w:widowControl/>
              <w:adjustRightInd/>
              <w:snapToGrid/>
              <w:spacing w:line="240" w:lineRule="auto"/>
              <w:ind w:firstLineChars="0" w:firstLine="0"/>
              <w:jc w:val="center"/>
              <w:rPr>
                <w:rFonts w:hAnsi="宋体" w:cs="宋体"/>
                <w:sz w:val="21"/>
                <w:szCs w:val="21"/>
              </w:rPr>
            </w:pPr>
            <w:r>
              <w:rPr>
                <w:rFonts w:hAnsi="宋体" w:cs="宋体" w:hint="eastAsia"/>
                <w:sz w:val="21"/>
                <w:szCs w:val="21"/>
              </w:rPr>
              <w:t>81536.75</w:t>
            </w:r>
          </w:p>
        </w:tc>
      </w:tr>
      <w:tr w:rsidR="008E58E2" w14:paraId="0DA0EE0B" w14:textId="77777777">
        <w:trPr>
          <w:trHeight w:val="510"/>
        </w:trPr>
        <w:tc>
          <w:tcPr>
            <w:tcW w:w="5524" w:type="dxa"/>
            <w:tcBorders>
              <w:top w:val="nil"/>
              <w:left w:val="single" w:sz="4" w:space="0" w:color="auto"/>
              <w:bottom w:val="single" w:sz="4" w:space="0" w:color="auto"/>
              <w:right w:val="single" w:sz="4" w:space="0" w:color="auto"/>
            </w:tcBorders>
            <w:noWrap/>
            <w:vAlign w:val="center"/>
          </w:tcPr>
          <w:p w14:paraId="171B1D56" w14:textId="77777777" w:rsidR="008E58E2" w:rsidRDefault="00772BFC">
            <w:pPr>
              <w:widowControl/>
              <w:adjustRightInd/>
              <w:snapToGrid/>
              <w:spacing w:line="240" w:lineRule="auto"/>
              <w:ind w:firstLineChars="0" w:firstLine="0"/>
              <w:jc w:val="center"/>
              <w:rPr>
                <w:rFonts w:hAnsi="宋体" w:cs="宋体"/>
                <w:b/>
                <w:bCs/>
                <w:sz w:val="21"/>
                <w:szCs w:val="21"/>
              </w:rPr>
            </w:pPr>
            <w:r>
              <w:rPr>
                <w:rFonts w:hAnsi="宋体" w:cs="宋体" w:hint="eastAsia"/>
                <w:b/>
                <w:bCs/>
                <w:sz w:val="21"/>
                <w:szCs w:val="21"/>
              </w:rPr>
              <w:t>六小小计</w:t>
            </w:r>
          </w:p>
        </w:tc>
        <w:tc>
          <w:tcPr>
            <w:tcW w:w="2976" w:type="dxa"/>
            <w:tcBorders>
              <w:top w:val="nil"/>
              <w:left w:val="nil"/>
              <w:bottom w:val="single" w:sz="4" w:space="0" w:color="auto"/>
              <w:right w:val="single" w:sz="4" w:space="0" w:color="auto"/>
            </w:tcBorders>
            <w:noWrap/>
            <w:vAlign w:val="center"/>
          </w:tcPr>
          <w:p w14:paraId="06412E7C" w14:textId="77777777" w:rsidR="008E58E2" w:rsidRDefault="00772BFC">
            <w:pPr>
              <w:widowControl/>
              <w:adjustRightInd/>
              <w:snapToGrid/>
              <w:spacing w:line="240" w:lineRule="auto"/>
              <w:ind w:firstLineChars="0" w:firstLine="0"/>
              <w:jc w:val="center"/>
              <w:rPr>
                <w:rFonts w:hAnsi="宋体" w:cs="宋体"/>
                <w:b/>
                <w:bCs/>
                <w:sz w:val="21"/>
                <w:szCs w:val="21"/>
              </w:rPr>
            </w:pPr>
            <w:r>
              <w:rPr>
                <w:rFonts w:hAnsi="宋体" w:cs="宋体" w:hint="eastAsia"/>
                <w:b/>
                <w:bCs/>
                <w:sz w:val="21"/>
                <w:szCs w:val="21"/>
              </w:rPr>
              <w:t>81536.75</w:t>
            </w:r>
          </w:p>
        </w:tc>
      </w:tr>
      <w:tr w:rsidR="008E58E2" w14:paraId="1C07F7B0" w14:textId="77777777">
        <w:trPr>
          <w:trHeight w:val="510"/>
        </w:trPr>
        <w:tc>
          <w:tcPr>
            <w:tcW w:w="5524" w:type="dxa"/>
            <w:tcBorders>
              <w:top w:val="nil"/>
              <w:left w:val="single" w:sz="4" w:space="0" w:color="auto"/>
              <w:bottom w:val="single" w:sz="4" w:space="0" w:color="auto"/>
              <w:right w:val="single" w:sz="4" w:space="0" w:color="auto"/>
            </w:tcBorders>
            <w:noWrap/>
            <w:vAlign w:val="center"/>
          </w:tcPr>
          <w:p w14:paraId="71D8C8CD" w14:textId="77777777" w:rsidR="008E58E2" w:rsidRDefault="00772BFC">
            <w:pPr>
              <w:widowControl/>
              <w:adjustRightInd/>
              <w:snapToGrid/>
              <w:spacing w:line="240" w:lineRule="auto"/>
              <w:ind w:firstLineChars="0" w:firstLine="0"/>
              <w:jc w:val="center"/>
              <w:rPr>
                <w:rFonts w:hAnsi="宋体" w:cs="宋体"/>
                <w:sz w:val="21"/>
                <w:szCs w:val="21"/>
              </w:rPr>
            </w:pPr>
            <w:bookmarkStart w:id="15" w:name="_Hlk47714107"/>
            <w:r>
              <w:rPr>
                <w:rFonts w:hAnsi="宋体" w:cs="宋体" w:hint="eastAsia"/>
                <w:sz w:val="21"/>
                <w:szCs w:val="21"/>
              </w:rPr>
              <w:t>七小消防设施改造</w:t>
            </w:r>
            <w:bookmarkEnd w:id="15"/>
          </w:p>
        </w:tc>
        <w:tc>
          <w:tcPr>
            <w:tcW w:w="2976" w:type="dxa"/>
            <w:tcBorders>
              <w:top w:val="nil"/>
              <w:left w:val="nil"/>
              <w:bottom w:val="single" w:sz="4" w:space="0" w:color="auto"/>
              <w:right w:val="single" w:sz="4" w:space="0" w:color="auto"/>
            </w:tcBorders>
            <w:noWrap/>
            <w:vAlign w:val="center"/>
          </w:tcPr>
          <w:p w14:paraId="249C5224" w14:textId="77777777" w:rsidR="008E58E2" w:rsidRDefault="00772BFC">
            <w:pPr>
              <w:widowControl/>
              <w:adjustRightInd/>
              <w:snapToGrid/>
              <w:spacing w:line="240" w:lineRule="auto"/>
              <w:ind w:firstLineChars="0" w:firstLine="0"/>
              <w:jc w:val="center"/>
              <w:rPr>
                <w:rFonts w:hAnsi="宋体" w:cs="宋体"/>
                <w:sz w:val="21"/>
                <w:szCs w:val="21"/>
              </w:rPr>
            </w:pPr>
            <w:r>
              <w:rPr>
                <w:rFonts w:hAnsi="宋体" w:cs="宋体" w:hint="eastAsia"/>
                <w:sz w:val="21"/>
                <w:szCs w:val="21"/>
              </w:rPr>
              <w:t>318949.91</w:t>
            </w:r>
          </w:p>
        </w:tc>
      </w:tr>
      <w:tr w:rsidR="008E58E2" w14:paraId="106DF1A2" w14:textId="77777777">
        <w:trPr>
          <w:trHeight w:val="510"/>
        </w:trPr>
        <w:tc>
          <w:tcPr>
            <w:tcW w:w="5524" w:type="dxa"/>
            <w:tcBorders>
              <w:top w:val="nil"/>
              <w:left w:val="single" w:sz="4" w:space="0" w:color="auto"/>
              <w:bottom w:val="single" w:sz="4" w:space="0" w:color="auto"/>
              <w:right w:val="single" w:sz="4" w:space="0" w:color="auto"/>
            </w:tcBorders>
            <w:noWrap/>
            <w:vAlign w:val="center"/>
          </w:tcPr>
          <w:p w14:paraId="78B5CEC9" w14:textId="77777777" w:rsidR="008E58E2" w:rsidRDefault="00772BFC">
            <w:pPr>
              <w:widowControl/>
              <w:adjustRightInd/>
              <w:snapToGrid/>
              <w:spacing w:line="240" w:lineRule="auto"/>
              <w:ind w:firstLineChars="0" w:firstLine="0"/>
              <w:jc w:val="center"/>
              <w:rPr>
                <w:rFonts w:hAnsi="宋体" w:cs="宋体"/>
                <w:b/>
                <w:bCs/>
                <w:sz w:val="21"/>
                <w:szCs w:val="21"/>
              </w:rPr>
            </w:pPr>
            <w:r>
              <w:rPr>
                <w:rFonts w:hAnsi="宋体" w:cs="宋体" w:hint="eastAsia"/>
                <w:b/>
                <w:bCs/>
                <w:sz w:val="21"/>
                <w:szCs w:val="21"/>
              </w:rPr>
              <w:t>七小小计</w:t>
            </w:r>
          </w:p>
        </w:tc>
        <w:tc>
          <w:tcPr>
            <w:tcW w:w="2976" w:type="dxa"/>
            <w:tcBorders>
              <w:top w:val="nil"/>
              <w:left w:val="nil"/>
              <w:bottom w:val="single" w:sz="4" w:space="0" w:color="auto"/>
              <w:right w:val="single" w:sz="4" w:space="0" w:color="auto"/>
            </w:tcBorders>
            <w:noWrap/>
            <w:vAlign w:val="center"/>
          </w:tcPr>
          <w:p w14:paraId="71CAE988" w14:textId="77777777" w:rsidR="008E58E2" w:rsidRDefault="00772BFC">
            <w:pPr>
              <w:widowControl/>
              <w:adjustRightInd/>
              <w:snapToGrid/>
              <w:spacing w:line="240" w:lineRule="auto"/>
              <w:ind w:firstLineChars="0" w:firstLine="0"/>
              <w:jc w:val="center"/>
              <w:rPr>
                <w:rFonts w:hAnsi="宋体" w:cs="宋体"/>
                <w:b/>
                <w:bCs/>
                <w:sz w:val="21"/>
                <w:szCs w:val="21"/>
              </w:rPr>
            </w:pPr>
            <w:r>
              <w:rPr>
                <w:rFonts w:hAnsi="宋体" w:cs="宋体" w:hint="eastAsia"/>
                <w:b/>
                <w:bCs/>
                <w:sz w:val="21"/>
                <w:szCs w:val="21"/>
              </w:rPr>
              <w:t>318949.91</w:t>
            </w:r>
          </w:p>
        </w:tc>
      </w:tr>
      <w:tr w:rsidR="008E58E2" w14:paraId="32DFEDC4" w14:textId="77777777">
        <w:trPr>
          <w:trHeight w:val="510"/>
        </w:trPr>
        <w:tc>
          <w:tcPr>
            <w:tcW w:w="5524" w:type="dxa"/>
            <w:tcBorders>
              <w:top w:val="nil"/>
              <w:left w:val="single" w:sz="4" w:space="0" w:color="auto"/>
              <w:bottom w:val="single" w:sz="4" w:space="0" w:color="auto"/>
              <w:right w:val="single" w:sz="4" w:space="0" w:color="auto"/>
            </w:tcBorders>
            <w:noWrap/>
            <w:vAlign w:val="center"/>
          </w:tcPr>
          <w:p w14:paraId="64DB84A1" w14:textId="77777777" w:rsidR="008E58E2" w:rsidRDefault="00772BFC">
            <w:pPr>
              <w:widowControl/>
              <w:adjustRightInd/>
              <w:snapToGrid/>
              <w:spacing w:line="240" w:lineRule="auto"/>
              <w:ind w:firstLineChars="0" w:firstLine="0"/>
              <w:jc w:val="center"/>
              <w:rPr>
                <w:rFonts w:hAnsi="宋体" w:cs="宋体"/>
                <w:sz w:val="21"/>
                <w:szCs w:val="21"/>
              </w:rPr>
            </w:pPr>
            <w:r>
              <w:rPr>
                <w:rFonts w:hAnsi="宋体" w:cs="宋体" w:hint="eastAsia"/>
                <w:sz w:val="21"/>
                <w:szCs w:val="21"/>
              </w:rPr>
              <w:t>实验</w:t>
            </w:r>
            <w:proofErr w:type="gramStart"/>
            <w:r>
              <w:rPr>
                <w:rFonts w:hAnsi="宋体" w:cs="宋体" w:hint="eastAsia"/>
                <w:sz w:val="21"/>
                <w:szCs w:val="21"/>
              </w:rPr>
              <w:t>小学消防</w:t>
            </w:r>
            <w:proofErr w:type="gramEnd"/>
            <w:r>
              <w:rPr>
                <w:rFonts w:hAnsi="宋体" w:cs="宋体" w:hint="eastAsia"/>
                <w:sz w:val="21"/>
                <w:szCs w:val="21"/>
              </w:rPr>
              <w:t>水池消防泵建设</w:t>
            </w:r>
          </w:p>
        </w:tc>
        <w:tc>
          <w:tcPr>
            <w:tcW w:w="2976" w:type="dxa"/>
            <w:tcBorders>
              <w:top w:val="nil"/>
              <w:left w:val="nil"/>
              <w:bottom w:val="single" w:sz="4" w:space="0" w:color="auto"/>
              <w:right w:val="single" w:sz="4" w:space="0" w:color="auto"/>
            </w:tcBorders>
            <w:noWrap/>
            <w:vAlign w:val="center"/>
          </w:tcPr>
          <w:p w14:paraId="547BF7D8" w14:textId="77777777" w:rsidR="008E58E2" w:rsidRDefault="00772BFC">
            <w:pPr>
              <w:widowControl/>
              <w:adjustRightInd/>
              <w:snapToGrid/>
              <w:spacing w:line="240" w:lineRule="auto"/>
              <w:ind w:firstLineChars="0" w:firstLine="0"/>
              <w:jc w:val="center"/>
              <w:rPr>
                <w:rFonts w:hAnsi="宋体" w:cs="宋体"/>
                <w:sz w:val="21"/>
                <w:szCs w:val="21"/>
              </w:rPr>
            </w:pPr>
            <w:r>
              <w:rPr>
                <w:rFonts w:hAnsi="宋体" w:cs="宋体" w:hint="eastAsia"/>
                <w:sz w:val="21"/>
                <w:szCs w:val="21"/>
              </w:rPr>
              <w:t>1656609.07</w:t>
            </w:r>
          </w:p>
        </w:tc>
      </w:tr>
      <w:tr w:rsidR="008E58E2" w14:paraId="14B08524" w14:textId="77777777">
        <w:trPr>
          <w:trHeight w:val="510"/>
        </w:trPr>
        <w:tc>
          <w:tcPr>
            <w:tcW w:w="5524" w:type="dxa"/>
            <w:tcBorders>
              <w:top w:val="nil"/>
              <w:left w:val="single" w:sz="4" w:space="0" w:color="auto"/>
              <w:bottom w:val="single" w:sz="4" w:space="0" w:color="auto"/>
              <w:right w:val="single" w:sz="4" w:space="0" w:color="auto"/>
            </w:tcBorders>
            <w:noWrap/>
            <w:vAlign w:val="center"/>
          </w:tcPr>
          <w:p w14:paraId="53B138F1" w14:textId="77777777" w:rsidR="008E58E2" w:rsidRDefault="00772BFC">
            <w:pPr>
              <w:widowControl/>
              <w:adjustRightInd/>
              <w:snapToGrid/>
              <w:spacing w:line="240" w:lineRule="auto"/>
              <w:ind w:firstLineChars="0" w:firstLine="0"/>
              <w:jc w:val="center"/>
              <w:rPr>
                <w:rFonts w:hAnsi="宋体" w:cs="宋体"/>
                <w:b/>
                <w:bCs/>
                <w:sz w:val="21"/>
                <w:szCs w:val="21"/>
              </w:rPr>
            </w:pPr>
            <w:r>
              <w:rPr>
                <w:rFonts w:hAnsi="宋体" w:cs="宋体" w:hint="eastAsia"/>
                <w:b/>
                <w:bCs/>
                <w:sz w:val="21"/>
                <w:szCs w:val="21"/>
              </w:rPr>
              <w:t>实验小学小计</w:t>
            </w:r>
          </w:p>
        </w:tc>
        <w:tc>
          <w:tcPr>
            <w:tcW w:w="2976" w:type="dxa"/>
            <w:tcBorders>
              <w:top w:val="nil"/>
              <w:left w:val="nil"/>
              <w:bottom w:val="single" w:sz="4" w:space="0" w:color="auto"/>
              <w:right w:val="single" w:sz="4" w:space="0" w:color="auto"/>
            </w:tcBorders>
            <w:noWrap/>
            <w:vAlign w:val="center"/>
          </w:tcPr>
          <w:p w14:paraId="50E24CFE" w14:textId="77777777" w:rsidR="008E58E2" w:rsidRDefault="00772BFC">
            <w:pPr>
              <w:widowControl/>
              <w:adjustRightInd/>
              <w:snapToGrid/>
              <w:spacing w:line="240" w:lineRule="auto"/>
              <w:ind w:firstLineChars="0" w:firstLine="0"/>
              <w:jc w:val="center"/>
              <w:rPr>
                <w:rFonts w:hAnsi="宋体" w:cs="宋体"/>
                <w:b/>
                <w:bCs/>
                <w:sz w:val="21"/>
                <w:szCs w:val="21"/>
              </w:rPr>
            </w:pPr>
            <w:r>
              <w:rPr>
                <w:rFonts w:hAnsi="宋体" w:cs="宋体" w:hint="eastAsia"/>
                <w:b/>
                <w:bCs/>
                <w:sz w:val="21"/>
                <w:szCs w:val="21"/>
              </w:rPr>
              <w:t>1656609.07</w:t>
            </w:r>
          </w:p>
        </w:tc>
      </w:tr>
      <w:tr w:rsidR="008E58E2" w14:paraId="616D6F87" w14:textId="77777777">
        <w:trPr>
          <w:trHeight w:val="510"/>
        </w:trPr>
        <w:tc>
          <w:tcPr>
            <w:tcW w:w="5524" w:type="dxa"/>
            <w:tcBorders>
              <w:top w:val="nil"/>
              <w:left w:val="single" w:sz="4" w:space="0" w:color="auto"/>
              <w:bottom w:val="single" w:sz="4" w:space="0" w:color="auto"/>
              <w:right w:val="single" w:sz="4" w:space="0" w:color="auto"/>
            </w:tcBorders>
            <w:noWrap/>
            <w:vAlign w:val="center"/>
          </w:tcPr>
          <w:p w14:paraId="52F079E3" w14:textId="77777777" w:rsidR="008E58E2" w:rsidRDefault="00772BFC">
            <w:pPr>
              <w:widowControl/>
              <w:adjustRightInd/>
              <w:snapToGrid/>
              <w:spacing w:line="240" w:lineRule="auto"/>
              <w:ind w:firstLineChars="0" w:firstLine="0"/>
              <w:jc w:val="center"/>
              <w:rPr>
                <w:rFonts w:hAnsi="宋体" w:cs="宋体"/>
                <w:b/>
                <w:bCs/>
                <w:sz w:val="21"/>
                <w:szCs w:val="21"/>
              </w:rPr>
            </w:pPr>
            <w:r>
              <w:rPr>
                <w:rFonts w:hAnsi="宋体" w:cs="宋体" w:hint="eastAsia"/>
                <w:b/>
                <w:bCs/>
                <w:sz w:val="21"/>
                <w:szCs w:val="21"/>
              </w:rPr>
              <w:t>合计</w:t>
            </w:r>
          </w:p>
        </w:tc>
        <w:tc>
          <w:tcPr>
            <w:tcW w:w="2976" w:type="dxa"/>
            <w:tcBorders>
              <w:top w:val="nil"/>
              <w:left w:val="nil"/>
              <w:bottom w:val="single" w:sz="4" w:space="0" w:color="auto"/>
              <w:right w:val="single" w:sz="4" w:space="0" w:color="auto"/>
            </w:tcBorders>
            <w:noWrap/>
            <w:vAlign w:val="center"/>
          </w:tcPr>
          <w:p w14:paraId="6E80E210" w14:textId="77777777" w:rsidR="008E58E2" w:rsidRDefault="00772BFC">
            <w:pPr>
              <w:widowControl/>
              <w:adjustRightInd/>
              <w:snapToGrid/>
              <w:spacing w:line="240" w:lineRule="auto"/>
              <w:ind w:firstLineChars="0" w:firstLine="0"/>
              <w:jc w:val="center"/>
              <w:rPr>
                <w:rFonts w:hAnsi="宋体" w:cs="宋体"/>
                <w:b/>
                <w:bCs/>
                <w:sz w:val="21"/>
                <w:szCs w:val="21"/>
              </w:rPr>
            </w:pPr>
            <w:r>
              <w:rPr>
                <w:rFonts w:hAnsi="宋体" w:cs="宋体" w:hint="eastAsia"/>
                <w:b/>
                <w:bCs/>
                <w:sz w:val="21"/>
                <w:szCs w:val="21"/>
              </w:rPr>
              <w:t>8726211.03</w:t>
            </w:r>
          </w:p>
        </w:tc>
      </w:tr>
    </w:tbl>
    <w:bookmarkEnd w:id="12"/>
    <w:p w14:paraId="3E5C87A7" w14:textId="77777777" w:rsidR="008E58E2" w:rsidRDefault="00772BFC">
      <w:pPr>
        <w:spacing w:beforeLines="50" w:before="120"/>
        <w:ind w:firstLineChars="0" w:firstLine="540"/>
        <w:rPr>
          <w:rFonts w:hAnsi="宋体"/>
        </w:rPr>
      </w:pPr>
      <w:r>
        <w:rPr>
          <w:rFonts w:hAnsi="宋体" w:hint="eastAsia"/>
        </w:rPr>
        <w:t>2019年中小学消防改造及维修费项目预算资金8</w:t>
      </w:r>
      <w:r>
        <w:rPr>
          <w:rFonts w:hAnsi="宋体"/>
        </w:rPr>
        <w:t>72.62</w:t>
      </w:r>
      <w:r>
        <w:rPr>
          <w:rFonts w:hAnsi="宋体" w:hint="eastAsia"/>
        </w:rPr>
        <w:t>万元，实际支出8</w:t>
      </w:r>
      <w:r>
        <w:rPr>
          <w:rFonts w:hAnsi="宋体"/>
        </w:rPr>
        <w:t>651227.1</w:t>
      </w:r>
      <w:r>
        <w:rPr>
          <w:rFonts w:hAnsi="宋体" w:hint="eastAsia"/>
        </w:rPr>
        <w:t>元。截至2</w:t>
      </w:r>
      <w:r>
        <w:rPr>
          <w:rFonts w:hAnsi="宋体"/>
        </w:rPr>
        <w:t>019</w:t>
      </w:r>
      <w:r>
        <w:rPr>
          <w:rFonts w:hAnsi="宋体" w:hint="eastAsia"/>
        </w:rPr>
        <w:t>年1</w:t>
      </w:r>
      <w:r>
        <w:rPr>
          <w:rFonts w:hAnsi="宋体"/>
        </w:rPr>
        <w:t>2</w:t>
      </w:r>
      <w:r>
        <w:rPr>
          <w:rFonts w:hAnsi="宋体" w:hint="eastAsia"/>
        </w:rPr>
        <w:t>月份，实验中学共支付消防安全评估检测维保维修管理项目8</w:t>
      </w:r>
      <w:r>
        <w:rPr>
          <w:rFonts w:hAnsi="宋体"/>
        </w:rPr>
        <w:t>31166</w:t>
      </w:r>
      <w:r>
        <w:rPr>
          <w:rFonts w:hAnsi="宋体" w:hint="eastAsia"/>
        </w:rPr>
        <w:t>元，支付校舍维修费项目</w:t>
      </w:r>
      <w:r>
        <w:rPr>
          <w:rFonts w:hAnsi="宋体"/>
        </w:rPr>
        <w:t>465061.08</w:t>
      </w:r>
      <w:r>
        <w:rPr>
          <w:rFonts w:hAnsi="宋体" w:hint="eastAsia"/>
        </w:rPr>
        <w:t>元，</w:t>
      </w:r>
      <w:proofErr w:type="gramStart"/>
      <w:r>
        <w:rPr>
          <w:rFonts w:hAnsi="宋体" w:hint="eastAsia"/>
        </w:rPr>
        <w:t>支付深改</w:t>
      </w:r>
      <w:proofErr w:type="gramEnd"/>
      <w:r>
        <w:rPr>
          <w:rFonts w:hAnsi="宋体" w:hint="eastAsia"/>
        </w:rPr>
        <w:t>项目4</w:t>
      </w:r>
      <w:r>
        <w:rPr>
          <w:rFonts w:hAnsi="宋体"/>
        </w:rPr>
        <w:t>00000</w:t>
      </w:r>
      <w:r>
        <w:rPr>
          <w:rFonts w:hAnsi="宋体" w:hint="eastAsia"/>
        </w:rPr>
        <w:t>元；合计</w:t>
      </w:r>
      <w:r>
        <w:rPr>
          <w:rFonts w:hAnsi="宋体"/>
        </w:rPr>
        <w:t>1696227.08</w:t>
      </w:r>
      <w:r>
        <w:rPr>
          <w:rFonts w:hAnsi="宋体" w:hint="eastAsia"/>
        </w:rPr>
        <w:t>元。十一中2</w:t>
      </w:r>
      <w:r>
        <w:rPr>
          <w:rFonts w:hAnsi="宋体"/>
        </w:rPr>
        <w:t>019</w:t>
      </w:r>
      <w:r>
        <w:rPr>
          <w:rFonts w:hAnsi="宋体" w:hint="eastAsia"/>
        </w:rPr>
        <w:t>年度共支付维修改造费项目3</w:t>
      </w:r>
      <w:r>
        <w:rPr>
          <w:rFonts w:hAnsi="宋体"/>
        </w:rPr>
        <w:t>672606.67</w:t>
      </w:r>
      <w:r>
        <w:rPr>
          <w:rFonts w:hAnsi="宋体" w:hint="eastAsia"/>
        </w:rPr>
        <w:t>元，2</w:t>
      </w:r>
      <w:r>
        <w:rPr>
          <w:rFonts w:hAnsi="宋体"/>
        </w:rPr>
        <w:t>020</w:t>
      </w:r>
      <w:r>
        <w:rPr>
          <w:rFonts w:hAnsi="宋体" w:hint="eastAsia"/>
        </w:rPr>
        <w:t>年1月份支付维修改造项目</w:t>
      </w:r>
      <w:r>
        <w:rPr>
          <w:rFonts w:hAnsi="宋体"/>
        </w:rPr>
        <w:t>257311</w:t>
      </w:r>
      <w:r>
        <w:rPr>
          <w:rFonts w:hAnsi="宋体" w:hint="eastAsia"/>
        </w:rPr>
        <w:t>元，合计3</w:t>
      </w:r>
      <w:r>
        <w:rPr>
          <w:rFonts w:hAnsi="宋体"/>
        </w:rPr>
        <w:t>929917.67</w:t>
      </w:r>
      <w:r>
        <w:rPr>
          <w:rFonts w:hAnsi="宋体" w:hint="eastAsia"/>
        </w:rPr>
        <w:t>元；2</w:t>
      </w:r>
      <w:r>
        <w:rPr>
          <w:rFonts w:hAnsi="宋体"/>
        </w:rPr>
        <w:t>019</w:t>
      </w:r>
      <w:r>
        <w:rPr>
          <w:rFonts w:hAnsi="宋体" w:hint="eastAsia"/>
        </w:rPr>
        <w:t>年度支付消防安全设施更新改造项目9</w:t>
      </w:r>
      <w:r>
        <w:rPr>
          <w:rFonts w:hAnsi="宋体"/>
        </w:rPr>
        <w:t>77554.62</w:t>
      </w:r>
      <w:r>
        <w:rPr>
          <w:rFonts w:hAnsi="宋体" w:hint="eastAsia"/>
        </w:rPr>
        <w:t>元。2</w:t>
      </w:r>
      <w:r>
        <w:rPr>
          <w:rFonts w:hAnsi="宋体"/>
        </w:rPr>
        <w:t>019</w:t>
      </w:r>
      <w:r>
        <w:rPr>
          <w:rFonts w:hAnsi="宋体" w:hint="eastAsia"/>
        </w:rPr>
        <w:t>年度六</w:t>
      </w:r>
      <w:proofErr w:type="gramStart"/>
      <w:r>
        <w:rPr>
          <w:rFonts w:hAnsi="宋体" w:hint="eastAsia"/>
        </w:rPr>
        <w:t>小支付</w:t>
      </w:r>
      <w:proofErr w:type="gramEnd"/>
      <w:r>
        <w:rPr>
          <w:rFonts w:hAnsi="宋体" w:hint="eastAsia"/>
        </w:rPr>
        <w:t>消防验收改造维修项目8</w:t>
      </w:r>
      <w:r>
        <w:rPr>
          <w:rFonts w:hAnsi="宋体"/>
        </w:rPr>
        <w:t>1536.75</w:t>
      </w:r>
      <w:r>
        <w:rPr>
          <w:rFonts w:hAnsi="宋体" w:hint="eastAsia"/>
        </w:rPr>
        <w:t>元；七</w:t>
      </w:r>
      <w:proofErr w:type="gramStart"/>
      <w:r>
        <w:rPr>
          <w:rFonts w:hAnsi="宋体" w:hint="eastAsia"/>
        </w:rPr>
        <w:t>小支付</w:t>
      </w:r>
      <w:proofErr w:type="gramEnd"/>
      <w:r>
        <w:rPr>
          <w:rFonts w:hAnsi="宋体" w:hint="eastAsia"/>
        </w:rPr>
        <w:t>消防设施改造项目</w:t>
      </w:r>
      <w:r>
        <w:rPr>
          <w:rFonts w:hAnsi="宋体"/>
        </w:rPr>
        <w:t>309381.91</w:t>
      </w:r>
      <w:r>
        <w:rPr>
          <w:rFonts w:hAnsi="宋体" w:hint="eastAsia"/>
        </w:rPr>
        <w:t>元，剩余资金9</w:t>
      </w:r>
      <w:r>
        <w:rPr>
          <w:rFonts w:hAnsi="宋体"/>
        </w:rPr>
        <w:t>568</w:t>
      </w:r>
      <w:r>
        <w:rPr>
          <w:rFonts w:hAnsi="宋体" w:hint="eastAsia"/>
        </w:rPr>
        <w:t>元为质保金；实验小学支付消防水池消防泵建设项目1</w:t>
      </w:r>
      <w:r>
        <w:rPr>
          <w:rFonts w:hAnsi="宋体"/>
        </w:rPr>
        <w:t>656609.07</w:t>
      </w:r>
      <w:r>
        <w:rPr>
          <w:rFonts w:hAnsi="宋体" w:hint="eastAsia"/>
        </w:rPr>
        <w:t>元。</w:t>
      </w:r>
    </w:p>
    <w:p w14:paraId="7ECCE3F0" w14:textId="77777777" w:rsidR="008E58E2" w:rsidRDefault="00772BFC">
      <w:pPr>
        <w:ind w:firstLine="540"/>
        <w:rPr>
          <w:rFonts w:hAnsi="宋体" w:cs="宋体"/>
        </w:rPr>
      </w:pPr>
      <w:r>
        <w:rPr>
          <w:rFonts w:hAnsi="宋体" w:cs="宋体" w:hint="eastAsia"/>
        </w:rPr>
        <w:lastRenderedPageBreak/>
        <w:t>2019年幼儿园生均公用经费项目预算资金7</w:t>
      </w:r>
      <w:r>
        <w:rPr>
          <w:rFonts w:hAnsi="宋体" w:cs="宋体"/>
        </w:rPr>
        <w:t>83.07</w:t>
      </w:r>
      <w:r>
        <w:rPr>
          <w:rFonts w:hAnsi="宋体" w:cs="宋体" w:hint="eastAsia"/>
        </w:rPr>
        <w:t>万元，实际共支付资金7</w:t>
      </w:r>
      <w:r>
        <w:rPr>
          <w:rFonts w:hAnsi="宋体" w:cs="宋体"/>
        </w:rPr>
        <w:t>830660</w:t>
      </w:r>
      <w:r>
        <w:rPr>
          <w:rFonts w:hAnsi="宋体" w:cs="宋体" w:hint="eastAsia"/>
        </w:rPr>
        <w:t>元，该项目资金全部执行完。</w:t>
      </w:r>
    </w:p>
    <w:p w14:paraId="155158F7" w14:textId="77777777" w:rsidR="008E58E2" w:rsidRDefault="00772BFC">
      <w:pPr>
        <w:ind w:firstLine="540"/>
        <w:rPr>
          <w:rFonts w:hAnsi="宋体" w:cs="宋体"/>
        </w:rPr>
      </w:pPr>
      <w:r>
        <w:rPr>
          <w:rFonts w:hAnsi="宋体" w:hint="eastAsia"/>
        </w:rPr>
        <w:t>2017-2019年26辆校车运行费项目预算资金817.37万元，2017-2019年26辆校车实际支付资金8199891.65元，其中，2017年度支付2650163.66元，2018年度支付2769727.99元，2019年度支付2780000元。</w:t>
      </w:r>
    </w:p>
    <w:p w14:paraId="6CCEA90F" w14:textId="77777777" w:rsidR="008E58E2" w:rsidRDefault="00772BFC">
      <w:pPr>
        <w:pStyle w:val="1"/>
        <w:ind w:firstLine="600"/>
      </w:pPr>
      <w:bookmarkStart w:id="16" w:name="_Toc11391"/>
      <w:bookmarkEnd w:id="9"/>
      <w:r>
        <w:rPr>
          <w:rFonts w:hint="eastAsia"/>
        </w:rPr>
        <w:t>二、项目绩效目标</w:t>
      </w:r>
      <w:bookmarkEnd w:id="16"/>
    </w:p>
    <w:p w14:paraId="4F38A088" w14:textId="77777777" w:rsidR="008E58E2" w:rsidRDefault="00772BFC">
      <w:pPr>
        <w:pStyle w:val="2"/>
        <w:ind w:firstLine="562"/>
      </w:pPr>
      <w:r>
        <w:rPr>
          <w:rFonts w:hint="eastAsia"/>
        </w:rPr>
        <w:t>（一）项目</w:t>
      </w:r>
      <w:r>
        <w:t>总体目标</w:t>
      </w:r>
    </w:p>
    <w:p w14:paraId="4A735374" w14:textId="77777777" w:rsidR="008E58E2" w:rsidRDefault="00772BFC">
      <w:pPr>
        <w:ind w:firstLine="540"/>
      </w:pPr>
      <w:r>
        <w:rPr>
          <w:rFonts w:hint="eastAsia"/>
        </w:rPr>
        <w:t>按照中央、省、市相关规定，提升学校消防、建筑设施安全性，对校园安全进行检测，有效排除安全隐患，创造安全的学习生活工作环境；完善学前教育经费投入机制，有效保障幼儿园正常运转和稳定发展，全面提高教育教学质量；统一校车接送孩子上下学，</w:t>
      </w:r>
      <w:bookmarkStart w:id="17" w:name="_Hlk53122332"/>
      <w:r>
        <w:rPr>
          <w:rFonts w:hint="eastAsia"/>
        </w:rPr>
        <w:t>为家长及孩子创造方便，有效保障交通安全，促进社会和谐发展</w:t>
      </w:r>
      <w:bookmarkEnd w:id="17"/>
      <w:r>
        <w:rPr>
          <w:rFonts w:hint="eastAsia"/>
        </w:rPr>
        <w:t>。</w:t>
      </w:r>
    </w:p>
    <w:p w14:paraId="45555F02" w14:textId="77777777" w:rsidR="008E58E2" w:rsidRDefault="00772BFC">
      <w:pPr>
        <w:pStyle w:val="2"/>
        <w:ind w:firstLine="562"/>
      </w:pPr>
      <w:r>
        <w:rPr>
          <w:rFonts w:hint="eastAsia"/>
        </w:rPr>
        <w:t>（二）项目</w:t>
      </w:r>
      <w:r>
        <w:t>阶段性目标</w:t>
      </w:r>
    </w:p>
    <w:p w14:paraId="772AAFB5" w14:textId="77777777" w:rsidR="008E58E2" w:rsidRDefault="00772BFC">
      <w:pPr>
        <w:ind w:firstLine="540"/>
        <w:rPr>
          <w:rFonts w:ascii="仿宋_GB2312"/>
        </w:rPr>
      </w:pPr>
      <w:r>
        <w:rPr>
          <w:rFonts w:hAnsi="宋体" w:hint="eastAsia"/>
        </w:rPr>
        <w:t>实施消防改造项目，保障</w:t>
      </w:r>
      <w:proofErr w:type="gramStart"/>
      <w:r>
        <w:rPr>
          <w:rFonts w:hAnsi="宋体" w:hint="eastAsia"/>
        </w:rPr>
        <w:t>学校消防</w:t>
      </w:r>
      <w:proofErr w:type="gramEnd"/>
      <w:r>
        <w:rPr>
          <w:rFonts w:hAnsi="宋体" w:hint="eastAsia"/>
        </w:rPr>
        <w:t>安全达到《机关、团体、企业、事业单位消防安全管理规定》《山东省火灾高危单位消防安全管理规定》《高新区&lt;关于在全区开展“畅通生命通道”消防安全专项整治行动的通知&gt;》等文件要求，排除安全隐患，创造安全的校园环境；维修改造项目实施确保校园基础设施正常使用，校园建设满足教育教学需求；实施学前教育生均公用经费政策，促进学前教育发展，有效提升教学质量，为孩子未来打下良好的基础；统一校车接送孩子上下学，有效解决孩子接送问题，保障交通安全。</w:t>
      </w:r>
    </w:p>
    <w:p w14:paraId="3BA3A6BE" w14:textId="77777777" w:rsidR="008E58E2" w:rsidRDefault="00772BFC">
      <w:pPr>
        <w:pStyle w:val="1"/>
        <w:ind w:firstLine="600"/>
      </w:pPr>
      <w:bookmarkStart w:id="18" w:name="_Toc21876"/>
      <w:r>
        <w:rPr>
          <w:rFonts w:hint="eastAsia"/>
        </w:rPr>
        <w:t>三、绩效评价工作开展情况</w:t>
      </w:r>
      <w:bookmarkEnd w:id="18"/>
    </w:p>
    <w:p w14:paraId="1040A7C2" w14:textId="77777777" w:rsidR="008E58E2" w:rsidRDefault="00772BFC">
      <w:pPr>
        <w:pStyle w:val="2"/>
        <w:ind w:firstLine="562"/>
      </w:pPr>
      <w:bookmarkStart w:id="19" w:name="_Toc28566"/>
      <w:r>
        <w:rPr>
          <w:rFonts w:hint="eastAsia"/>
        </w:rPr>
        <w:t>（一）绩效评价目的、对象和范围</w:t>
      </w:r>
      <w:bookmarkEnd w:id="19"/>
    </w:p>
    <w:p w14:paraId="1B708410" w14:textId="77777777" w:rsidR="008E58E2" w:rsidRDefault="00772BFC">
      <w:pPr>
        <w:pStyle w:val="3"/>
        <w:ind w:firstLine="562"/>
      </w:pPr>
      <w:r>
        <w:rPr>
          <w:rFonts w:hint="eastAsia"/>
        </w:rPr>
        <w:lastRenderedPageBreak/>
        <w:t>1.评价目的</w:t>
      </w:r>
    </w:p>
    <w:p w14:paraId="46871156" w14:textId="77777777" w:rsidR="008E58E2" w:rsidRDefault="00772BFC">
      <w:pPr>
        <w:ind w:firstLine="540"/>
      </w:pPr>
      <w:r>
        <w:rPr>
          <w:rFonts w:hint="eastAsia"/>
        </w:rPr>
        <w:t>通过开展绩效评价，了解、分析、衡量</w:t>
      </w:r>
      <w:r>
        <w:rPr>
          <w:rFonts w:hAnsi="宋体" w:cs="宋体" w:hint="eastAsia"/>
        </w:rPr>
        <w:t>中小学消防改造、幼儿园生均公用经费及2017-2019年校车运行费项目</w:t>
      </w:r>
      <w:r>
        <w:rPr>
          <w:rFonts w:hint="eastAsia"/>
        </w:rPr>
        <w:t>是否按照有关制度办法实施，掌握项目资金的管理和使用情况等；根据项目的完成情况，运用科学、规范的绩效评价方法，客观公正地核查项目资金预期目标实现程度，考评其社会效益、可持续影响等。</w:t>
      </w:r>
    </w:p>
    <w:p w14:paraId="46B0DA92" w14:textId="77777777" w:rsidR="008E58E2" w:rsidRDefault="00772BFC">
      <w:pPr>
        <w:ind w:firstLine="540"/>
      </w:pPr>
      <w:r>
        <w:rPr>
          <w:rFonts w:hint="eastAsia"/>
        </w:rPr>
        <w:t>通过绩效评价，总结项目实施过程中的经验，发现项目实施过程中存在的问题，提出有针对性的改进意见和建议，切实采取措施改进和加强项目管理，进一步提高项目资金管理水平和财政资金使用效益；总结预算管理经验，查找资金使用和管理中的薄弱环节，为进一步完善财政政策、改进预算管理、提高预算资金绩效提供依据，为后续财政预算资金安排提供重要参考。</w:t>
      </w:r>
    </w:p>
    <w:p w14:paraId="09BDF413" w14:textId="77777777" w:rsidR="008E58E2" w:rsidRDefault="00772BFC">
      <w:pPr>
        <w:pStyle w:val="3"/>
        <w:ind w:firstLine="562"/>
      </w:pPr>
      <w:r>
        <w:rPr>
          <w:rFonts w:hint="eastAsia"/>
        </w:rPr>
        <w:t>2. 评价</w:t>
      </w:r>
      <w:r>
        <w:t>对象</w:t>
      </w:r>
      <w:r>
        <w:rPr>
          <w:rFonts w:hint="eastAsia"/>
        </w:rPr>
        <w:t>及</w:t>
      </w:r>
      <w:r>
        <w:t>范围</w:t>
      </w:r>
    </w:p>
    <w:p w14:paraId="574938FE" w14:textId="77777777" w:rsidR="008E58E2" w:rsidRDefault="00772BFC">
      <w:pPr>
        <w:ind w:firstLine="540"/>
        <w:rPr>
          <w:rFonts w:hAnsi="宋体"/>
          <w:szCs w:val="27"/>
        </w:rPr>
      </w:pPr>
      <w:r>
        <w:rPr>
          <w:rFonts w:hAnsi="宋体" w:hint="eastAsia"/>
          <w:szCs w:val="27"/>
        </w:rPr>
        <w:t>本项目绩效评价对象为</w:t>
      </w:r>
      <w:r>
        <w:rPr>
          <w:rFonts w:hAnsi="宋体" w:hint="eastAsia"/>
        </w:rPr>
        <w:t>中小学消防改造、幼儿园生均公用经费及2017-2019年校车运行费项目</w:t>
      </w:r>
      <w:r>
        <w:rPr>
          <w:rFonts w:hAnsi="宋体" w:hint="eastAsia"/>
          <w:szCs w:val="27"/>
        </w:rPr>
        <w:t>的</w:t>
      </w:r>
      <w:r>
        <w:rPr>
          <w:rFonts w:hAnsi="宋体"/>
          <w:szCs w:val="27"/>
        </w:rPr>
        <w:t>绩效情况</w:t>
      </w:r>
      <w:r>
        <w:rPr>
          <w:rFonts w:hAnsi="宋体" w:hint="eastAsia"/>
          <w:szCs w:val="27"/>
        </w:rPr>
        <w:t>，结合</w:t>
      </w:r>
      <w:r>
        <w:rPr>
          <w:rFonts w:hAnsi="宋体"/>
          <w:szCs w:val="27"/>
        </w:rPr>
        <w:t>资金</w:t>
      </w:r>
      <w:r>
        <w:rPr>
          <w:rFonts w:hAnsi="宋体" w:hint="eastAsia"/>
          <w:szCs w:val="27"/>
        </w:rPr>
        <w:t>划拨</w:t>
      </w:r>
      <w:r>
        <w:rPr>
          <w:rFonts w:hAnsi="宋体"/>
          <w:szCs w:val="27"/>
        </w:rPr>
        <w:t>程序、</w:t>
      </w:r>
      <w:r>
        <w:rPr>
          <w:rFonts w:hAnsi="宋体" w:hint="eastAsia"/>
          <w:szCs w:val="27"/>
        </w:rPr>
        <w:t>资金管理</w:t>
      </w:r>
      <w:r>
        <w:rPr>
          <w:rFonts w:hAnsi="宋体"/>
          <w:szCs w:val="27"/>
        </w:rPr>
        <w:t>规范</w:t>
      </w:r>
      <w:r>
        <w:rPr>
          <w:rFonts w:hAnsi="宋体" w:hint="eastAsia"/>
          <w:szCs w:val="27"/>
        </w:rPr>
        <w:t>及</w:t>
      </w:r>
      <w:r>
        <w:rPr>
          <w:rFonts w:hAnsi="宋体"/>
          <w:szCs w:val="27"/>
        </w:rPr>
        <w:t>绩效</w:t>
      </w:r>
      <w:r>
        <w:rPr>
          <w:rFonts w:hAnsi="宋体" w:hint="eastAsia"/>
          <w:szCs w:val="27"/>
        </w:rPr>
        <w:t>目标</w:t>
      </w:r>
      <w:r>
        <w:rPr>
          <w:rFonts w:hAnsi="宋体"/>
          <w:szCs w:val="27"/>
        </w:rPr>
        <w:t>要求等</w:t>
      </w:r>
      <w:r>
        <w:rPr>
          <w:rFonts w:hAnsi="宋体" w:hint="eastAsia"/>
          <w:szCs w:val="27"/>
        </w:rPr>
        <w:t>，将</w:t>
      </w:r>
      <w:r>
        <w:rPr>
          <w:rFonts w:hAnsi="宋体"/>
          <w:szCs w:val="27"/>
        </w:rPr>
        <w:t>评价对象细化</w:t>
      </w:r>
      <w:r>
        <w:rPr>
          <w:rFonts w:hAnsi="宋体" w:hint="eastAsia"/>
          <w:szCs w:val="27"/>
        </w:rPr>
        <w:t>为</w:t>
      </w:r>
      <w:r>
        <w:rPr>
          <w:rFonts w:hAnsi="宋体"/>
          <w:szCs w:val="27"/>
        </w:rPr>
        <w:t>以下</w:t>
      </w:r>
      <w:r>
        <w:rPr>
          <w:rFonts w:hAnsi="宋体" w:hint="eastAsia"/>
          <w:szCs w:val="27"/>
        </w:rPr>
        <w:t>几方面</w:t>
      </w:r>
      <w:r>
        <w:rPr>
          <w:rFonts w:hAnsi="宋体"/>
          <w:szCs w:val="27"/>
        </w:rPr>
        <w:t>内容</w:t>
      </w:r>
      <w:r>
        <w:rPr>
          <w:rFonts w:hAnsi="宋体" w:hint="eastAsia"/>
          <w:szCs w:val="27"/>
        </w:rPr>
        <w:t>：</w:t>
      </w:r>
    </w:p>
    <w:p w14:paraId="2F1C5C0A" w14:textId="77777777" w:rsidR="008E58E2" w:rsidRDefault="00772BFC">
      <w:pPr>
        <w:ind w:firstLine="540"/>
        <w:rPr>
          <w:rFonts w:hAnsi="宋体"/>
          <w:szCs w:val="27"/>
        </w:rPr>
      </w:pPr>
      <w:r>
        <w:rPr>
          <w:rFonts w:hAnsi="宋体" w:hint="eastAsia"/>
          <w:szCs w:val="27"/>
        </w:rPr>
        <w:t>1</w:t>
      </w:r>
      <w:r>
        <w:rPr>
          <w:rFonts w:hAnsi="宋体"/>
          <w:szCs w:val="27"/>
        </w:rPr>
        <w:t>.</w:t>
      </w:r>
      <w:r>
        <w:rPr>
          <w:rFonts w:hAnsi="宋体" w:hint="eastAsia"/>
          <w:szCs w:val="27"/>
        </w:rPr>
        <w:t>项目</w:t>
      </w:r>
      <w:r>
        <w:rPr>
          <w:rFonts w:hAnsi="宋体"/>
          <w:szCs w:val="27"/>
        </w:rPr>
        <w:t>决策情况，包括项目立项依据充分性、</w:t>
      </w:r>
      <w:r>
        <w:rPr>
          <w:rFonts w:hAnsi="宋体" w:hint="eastAsia"/>
          <w:szCs w:val="27"/>
        </w:rPr>
        <w:t>程序</w:t>
      </w:r>
      <w:r>
        <w:rPr>
          <w:rFonts w:hAnsi="宋体"/>
          <w:szCs w:val="27"/>
        </w:rPr>
        <w:t>规范性，</w:t>
      </w:r>
      <w:r>
        <w:rPr>
          <w:rFonts w:hAnsi="宋体" w:hint="eastAsia"/>
          <w:szCs w:val="27"/>
        </w:rPr>
        <w:t>绩效目标</w:t>
      </w:r>
      <w:r>
        <w:rPr>
          <w:rFonts w:hAnsi="宋体"/>
          <w:szCs w:val="27"/>
        </w:rPr>
        <w:t>合理性</w:t>
      </w:r>
      <w:r>
        <w:rPr>
          <w:rFonts w:hAnsi="宋体" w:hint="eastAsia"/>
          <w:szCs w:val="27"/>
        </w:rPr>
        <w:t>、</w:t>
      </w:r>
      <w:r>
        <w:rPr>
          <w:rFonts w:hAnsi="宋体"/>
          <w:szCs w:val="27"/>
        </w:rPr>
        <w:t>指标明确性，项目预算编制科学性等；</w:t>
      </w:r>
    </w:p>
    <w:p w14:paraId="6E03B775" w14:textId="77777777" w:rsidR="008E58E2" w:rsidRDefault="00772BFC">
      <w:pPr>
        <w:ind w:firstLine="540"/>
        <w:rPr>
          <w:rFonts w:hAnsi="宋体"/>
          <w:szCs w:val="27"/>
        </w:rPr>
      </w:pPr>
      <w:r>
        <w:rPr>
          <w:rFonts w:hAnsi="宋体"/>
          <w:szCs w:val="27"/>
        </w:rPr>
        <w:t>2.</w:t>
      </w:r>
      <w:r>
        <w:rPr>
          <w:rFonts w:hAnsi="宋体" w:hint="eastAsia"/>
          <w:szCs w:val="27"/>
        </w:rPr>
        <w:t>项目</w:t>
      </w:r>
      <w:r>
        <w:rPr>
          <w:rFonts w:hAnsi="宋体"/>
          <w:szCs w:val="27"/>
        </w:rPr>
        <w:t>过程情况，包括项目预算执行率</w:t>
      </w:r>
      <w:r>
        <w:rPr>
          <w:rFonts w:hAnsi="宋体" w:hint="eastAsia"/>
          <w:szCs w:val="27"/>
        </w:rPr>
        <w:t>及</w:t>
      </w:r>
      <w:r>
        <w:rPr>
          <w:rFonts w:hAnsi="宋体"/>
          <w:szCs w:val="27"/>
        </w:rPr>
        <w:t>资金使用合</w:t>
      </w:r>
      <w:proofErr w:type="gramStart"/>
      <w:r>
        <w:rPr>
          <w:rFonts w:hAnsi="宋体"/>
          <w:szCs w:val="27"/>
        </w:rPr>
        <w:t>规</w:t>
      </w:r>
      <w:proofErr w:type="gramEnd"/>
      <w:r>
        <w:rPr>
          <w:rFonts w:hAnsi="宋体"/>
          <w:szCs w:val="27"/>
        </w:rPr>
        <w:t>性</w:t>
      </w:r>
      <w:r>
        <w:rPr>
          <w:rFonts w:hAnsi="宋体" w:hint="eastAsia"/>
          <w:szCs w:val="27"/>
        </w:rPr>
        <w:t>，</w:t>
      </w:r>
      <w:r>
        <w:rPr>
          <w:rFonts w:hAnsi="宋体"/>
          <w:szCs w:val="27"/>
        </w:rPr>
        <w:t>项目</w:t>
      </w:r>
      <w:r>
        <w:rPr>
          <w:rFonts w:hAnsi="宋体" w:hint="eastAsia"/>
          <w:szCs w:val="27"/>
        </w:rPr>
        <w:t>管理制度健全性、制度执行有效性情况等</w:t>
      </w:r>
      <w:r>
        <w:rPr>
          <w:rFonts w:hAnsi="宋体"/>
          <w:szCs w:val="27"/>
        </w:rPr>
        <w:t>；</w:t>
      </w:r>
    </w:p>
    <w:p w14:paraId="1FA1FCD1" w14:textId="77777777" w:rsidR="008E58E2" w:rsidRDefault="00772BFC">
      <w:pPr>
        <w:ind w:firstLine="540"/>
        <w:rPr>
          <w:rFonts w:hAnsi="宋体"/>
          <w:szCs w:val="27"/>
        </w:rPr>
      </w:pPr>
      <w:r>
        <w:rPr>
          <w:rFonts w:hAnsi="宋体"/>
          <w:szCs w:val="27"/>
        </w:rPr>
        <w:t>3.</w:t>
      </w:r>
      <w:r>
        <w:rPr>
          <w:rFonts w:hAnsi="宋体" w:hint="eastAsia"/>
          <w:szCs w:val="27"/>
        </w:rPr>
        <w:t>项目</w:t>
      </w:r>
      <w:r>
        <w:rPr>
          <w:rFonts w:hAnsi="宋体"/>
          <w:szCs w:val="27"/>
        </w:rPr>
        <w:t>产出</w:t>
      </w:r>
      <w:r>
        <w:rPr>
          <w:rFonts w:hAnsi="宋体" w:hint="eastAsia"/>
          <w:szCs w:val="27"/>
        </w:rPr>
        <w:t>及</w:t>
      </w:r>
      <w:r>
        <w:rPr>
          <w:rFonts w:hAnsi="宋体"/>
          <w:szCs w:val="27"/>
        </w:rPr>
        <w:t>效益情况，包括项目产出数量、质量</w:t>
      </w:r>
      <w:r>
        <w:rPr>
          <w:rFonts w:hAnsi="宋体" w:hint="eastAsia"/>
          <w:szCs w:val="27"/>
        </w:rPr>
        <w:t>、</w:t>
      </w:r>
      <w:r>
        <w:rPr>
          <w:rFonts w:hAnsi="宋体"/>
          <w:szCs w:val="27"/>
        </w:rPr>
        <w:t>及时性情况，</w:t>
      </w:r>
      <w:r>
        <w:rPr>
          <w:rFonts w:hAnsi="宋体" w:hint="eastAsia"/>
          <w:szCs w:val="27"/>
        </w:rPr>
        <w:t>项目</w:t>
      </w:r>
      <w:r>
        <w:rPr>
          <w:rFonts w:hAnsi="宋体"/>
          <w:szCs w:val="27"/>
        </w:rPr>
        <w:t>实施所产生的社会效益</w:t>
      </w:r>
      <w:r>
        <w:rPr>
          <w:rFonts w:hAnsi="宋体" w:hint="eastAsia"/>
          <w:szCs w:val="27"/>
        </w:rPr>
        <w:t>及</w:t>
      </w:r>
      <w:r>
        <w:rPr>
          <w:rFonts w:hAnsi="宋体"/>
          <w:szCs w:val="27"/>
        </w:rPr>
        <w:t>可持续影响等。</w:t>
      </w:r>
    </w:p>
    <w:p w14:paraId="246C9467" w14:textId="77777777" w:rsidR="008E58E2" w:rsidRDefault="00772BFC">
      <w:pPr>
        <w:pStyle w:val="2"/>
        <w:ind w:firstLine="562"/>
      </w:pPr>
      <w:bookmarkStart w:id="20" w:name="_Toc17762"/>
      <w:r>
        <w:rPr>
          <w:rFonts w:hint="eastAsia"/>
        </w:rPr>
        <w:t>（二）绩效评价原则、指标体系、方法</w:t>
      </w:r>
      <w:bookmarkEnd w:id="20"/>
    </w:p>
    <w:p w14:paraId="7485E8EA" w14:textId="77777777" w:rsidR="008E58E2" w:rsidRDefault="00772BFC">
      <w:pPr>
        <w:pStyle w:val="3"/>
        <w:ind w:firstLine="562"/>
      </w:pPr>
      <w:r>
        <w:rPr>
          <w:rFonts w:hint="eastAsia"/>
        </w:rPr>
        <w:t>1.评价原则</w:t>
      </w:r>
    </w:p>
    <w:p w14:paraId="50454D5F" w14:textId="77777777" w:rsidR="008E58E2" w:rsidRDefault="00772BFC">
      <w:pPr>
        <w:ind w:firstLine="540"/>
        <w:rPr>
          <w:rFonts w:hAnsi="宋体" w:cs="宋体"/>
        </w:rPr>
      </w:pPr>
      <w:r>
        <w:rPr>
          <w:rFonts w:hAnsi="宋体" w:cs="宋体" w:hint="eastAsia"/>
        </w:rPr>
        <w:t>（1）科学规范原则。严格按照规定的程序，按照科学可行的要求，开展绩效评价各个环节的工作。</w:t>
      </w:r>
    </w:p>
    <w:p w14:paraId="0DB612CD" w14:textId="77777777" w:rsidR="008E58E2" w:rsidRDefault="00772BFC">
      <w:pPr>
        <w:ind w:firstLine="540"/>
        <w:rPr>
          <w:rFonts w:hAnsi="宋体" w:cs="宋体"/>
        </w:rPr>
      </w:pPr>
      <w:r>
        <w:rPr>
          <w:rFonts w:hAnsi="宋体" w:cs="宋体" w:hint="eastAsia"/>
        </w:rPr>
        <w:lastRenderedPageBreak/>
        <w:t xml:space="preserve">（2）政策相符原则。绩效评价严格按照项目政策要求、规章制度、技术标准、行业特点组织实施。 </w:t>
      </w:r>
    </w:p>
    <w:p w14:paraId="1CFBFB6C" w14:textId="77777777" w:rsidR="008E58E2" w:rsidRDefault="00772BFC">
      <w:pPr>
        <w:ind w:firstLine="540"/>
        <w:rPr>
          <w:rFonts w:hAnsi="宋体" w:cs="宋体"/>
        </w:rPr>
      </w:pPr>
      <w:r>
        <w:rPr>
          <w:rFonts w:hAnsi="宋体" w:cs="宋体" w:hint="eastAsia"/>
        </w:rPr>
        <w:t>（3）绩效相关原则。绩效评价针对具体支出及其产出绩效进行，评价结果清晰反映支出和产出绩效之间的关联关系。</w:t>
      </w:r>
    </w:p>
    <w:p w14:paraId="09E91383" w14:textId="77777777" w:rsidR="008E58E2" w:rsidRDefault="00772BFC">
      <w:pPr>
        <w:ind w:firstLine="540"/>
        <w:rPr>
          <w:rFonts w:hAnsi="宋体" w:cs="宋体"/>
        </w:rPr>
      </w:pPr>
      <w:r>
        <w:rPr>
          <w:rFonts w:hAnsi="宋体" w:cs="宋体" w:hint="eastAsia"/>
        </w:rPr>
        <w:t>（4）依据充分原则。绩效评价建立在大量、充分掌握相关数据、证据基础上，通过科学的分析方法，得出客观的结论、意见和建议。</w:t>
      </w:r>
    </w:p>
    <w:p w14:paraId="4D9E41AF" w14:textId="77777777" w:rsidR="008E58E2" w:rsidRDefault="00772BFC">
      <w:pPr>
        <w:ind w:firstLine="540"/>
        <w:rPr>
          <w:rFonts w:hAnsi="宋体" w:cs="宋体"/>
        </w:rPr>
      </w:pPr>
      <w:r>
        <w:rPr>
          <w:rFonts w:hAnsi="宋体" w:cs="宋体" w:hint="eastAsia"/>
        </w:rPr>
        <w:t>（5）公正公开原则。绩效评价要符合真实、客观、公正的要求，依法公开并接受监督。</w:t>
      </w:r>
    </w:p>
    <w:p w14:paraId="4B4AC026" w14:textId="77777777" w:rsidR="008E58E2" w:rsidRDefault="00772BFC">
      <w:pPr>
        <w:ind w:firstLine="540"/>
        <w:rPr>
          <w:rFonts w:hAnsi="宋体" w:cs="宋体"/>
        </w:rPr>
      </w:pPr>
      <w:r>
        <w:rPr>
          <w:rFonts w:hAnsi="宋体" w:cs="宋体" w:hint="eastAsia"/>
        </w:rPr>
        <w:t>（6）独立评价原则。通过道德自律和制度约束，排除内在、外在因素的干扰和影响，保持绩效评价的独立性、客观性、公正性。</w:t>
      </w:r>
    </w:p>
    <w:p w14:paraId="0DBA4906" w14:textId="77777777" w:rsidR="008E58E2" w:rsidRDefault="00772BFC">
      <w:pPr>
        <w:pStyle w:val="3"/>
        <w:ind w:firstLine="562"/>
      </w:pPr>
      <w:r>
        <w:rPr>
          <w:rFonts w:hint="eastAsia"/>
        </w:rPr>
        <w:t>2.评价指标体系</w:t>
      </w:r>
    </w:p>
    <w:p w14:paraId="3E902F24" w14:textId="77777777" w:rsidR="008E58E2" w:rsidRDefault="00772BFC">
      <w:pPr>
        <w:pStyle w:val="4"/>
        <w:ind w:firstLine="542"/>
        <w:rPr>
          <w:rFonts w:ascii="宋体" w:eastAsia="楷体" w:hAnsi="宋体" w:cs="Times New Roman"/>
          <w:bCs/>
          <w:color w:val="auto"/>
          <w:kern w:val="2"/>
        </w:rPr>
      </w:pPr>
      <w:r>
        <w:rPr>
          <w:rFonts w:hint="eastAsia"/>
        </w:rPr>
        <w:t>（</w:t>
      </w:r>
      <w:r>
        <w:rPr>
          <w:rFonts w:hint="eastAsia"/>
        </w:rPr>
        <w:t>1</w:t>
      </w:r>
      <w:r>
        <w:rPr>
          <w:rFonts w:hint="eastAsia"/>
        </w:rPr>
        <w:t>）评价指标设置的方法</w:t>
      </w:r>
    </w:p>
    <w:p w14:paraId="3C6D4840" w14:textId="77777777" w:rsidR="008E58E2" w:rsidRDefault="00772BFC">
      <w:pPr>
        <w:ind w:firstLine="540"/>
        <w:rPr>
          <w:rFonts w:hAnsi="宋体"/>
        </w:rPr>
      </w:pPr>
      <w:r>
        <w:rPr>
          <w:rFonts w:hAnsi="宋体" w:hint="eastAsia"/>
        </w:rPr>
        <w:t>根据项目的特点，对考评指标设置我们采用定量分析与定性分析相结合的方式，并搭配相关财务指标与其他指标构成。</w:t>
      </w:r>
    </w:p>
    <w:p w14:paraId="4779A6BA" w14:textId="77777777" w:rsidR="008E58E2" w:rsidRDefault="00772BFC">
      <w:pPr>
        <w:ind w:firstLine="542"/>
        <w:rPr>
          <w:rFonts w:hAnsi="宋体"/>
          <w:b/>
          <w:bCs/>
        </w:rPr>
      </w:pPr>
      <w:r>
        <w:rPr>
          <w:rFonts w:hAnsi="宋体" w:cs="宋体" w:hint="eastAsia"/>
          <w:b/>
          <w:bCs/>
        </w:rPr>
        <w:t>①</w:t>
      </w:r>
      <w:r>
        <w:rPr>
          <w:rFonts w:hAnsi="宋体"/>
          <w:b/>
          <w:bCs/>
        </w:rPr>
        <w:t>定量分析</w:t>
      </w:r>
    </w:p>
    <w:p w14:paraId="20FE017E" w14:textId="77777777" w:rsidR="008E58E2" w:rsidRDefault="00772BFC">
      <w:pPr>
        <w:ind w:firstLine="540"/>
        <w:rPr>
          <w:rFonts w:hAnsi="宋体"/>
        </w:rPr>
      </w:pPr>
      <w:r>
        <w:rPr>
          <w:rFonts w:hAnsi="宋体" w:hint="eastAsia"/>
        </w:rPr>
        <w:t>定量分析就是采用数学方法、收集和对比数据资料，对评价对象做出定量结果的价值判断。定量评价主要是通过建立相关指标，对目标期内各指标数据进行统计分析，得到定量评价结果，从而达到科学、公正评价的目的。</w:t>
      </w:r>
    </w:p>
    <w:p w14:paraId="4B8C0308" w14:textId="77777777" w:rsidR="008E58E2" w:rsidRDefault="00772BFC">
      <w:pPr>
        <w:ind w:firstLine="542"/>
        <w:rPr>
          <w:rFonts w:hAnsi="宋体"/>
          <w:b/>
          <w:bCs/>
        </w:rPr>
      </w:pPr>
      <w:r>
        <w:rPr>
          <w:rFonts w:hAnsi="宋体" w:cs="宋体" w:hint="eastAsia"/>
          <w:b/>
          <w:bCs/>
        </w:rPr>
        <w:t>②</w:t>
      </w:r>
      <w:r>
        <w:rPr>
          <w:rFonts w:hAnsi="宋体"/>
          <w:b/>
          <w:bCs/>
        </w:rPr>
        <w:t>定性分析</w:t>
      </w:r>
    </w:p>
    <w:p w14:paraId="555D35F4" w14:textId="77777777" w:rsidR="008E58E2" w:rsidRDefault="00772BFC">
      <w:pPr>
        <w:ind w:firstLine="540"/>
      </w:pPr>
      <w:r>
        <w:rPr>
          <w:rFonts w:hAnsi="宋体" w:hint="eastAsia"/>
        </w:rPr>
        <w:t>结合中小学消防改造、幼儿园生均公用经费及2017-2019年校车运行费项目特点，定性分析主要包括：项目的组织管理、内部控制是否规范，资金管理是否合理合</w:t>
      </w:r>
      <w:proofErr w:type="gramStart"/>
      <w:r>
        <w:rPr>
          <w:rFonts w:hAnsi="宋体" w:hint="eastAsia"/>
        </w:rPr>
        <w:t>规</w:t>
      </w:r>
      <w:proofErr w:type="gramEnd"/>
      <w:r>
        <w:rPr>
          <w:rFonts w:hAnsi="宋体" w:hint="eastAsia"/>
        </w:rPr>
        <w:t>，</w:t>
      </w:r>
      <w:r>
        <w:rPr>
          <w:rFonts w:hint="eastAsia"/>
        </w:rPr>
        <w:t>项目实施产生的社会效益和</w:t>
      </w:r>
      <w:proofErr w:type="gramStart"/>
      <w:r>
        <w:rPr>
          <w:rFonts w:hint="eastAsia"/>
        </w:rPr>
        <w:t>可</w:t>
      </w:r>
      <w:proofErr w:type="gramEnd"/>
      <w:r>
        <w:rPr>
          <w:rFonts w:hint="eastAsia"/>
        </w:rPr>
        <w:t>持续影响等。</w:t>
      </w:r>
    </w:p>
    <w:p w14:paraId="73EBA8A1" w14:textId="77777777" w:rsidR="008E58E2" w:rsidRDefault="00772BFC">
      <w:pPr>
        <w:pStyle w:val="4"/>
        <w:ind w:firstLine="542"/>
      </w:pPr>
      <w:r>
        <w:rPr>
          <w:rFonts w:hint="eastAsia"/>
        </w:rPr>
        <w:t>（</w:t>
      </w:r>
      <w:r>
        <w:rPr>
          <w:rFonts w:hint="eastAsia"/>
        </w:rPr>
        <w:t>2</w:t>
      </w:r>
      <w:r>
        <w:rPr>
          <w:rFonts w:hint="eastAsia"/>
        </w:rPr>
        <w:t>）绩效评价指标体系设置</w:t>
      </w:r>
    </w:p>
    <w:p w14:paraId="32B12445" w14:textId="77777777" w:rsidR="008E58E2" w:rsidRDefault="00772BFC">
      <w:pPr>
        <w:ind w:firstLine="540"/>
        <w:rPr>
          <w:rFonts w:hAnsi="宋体"/>
        </w:rPr>
      </w:pPr>
      <w:r>
        <w:rPr>
          <w:rFonts w:hAnsi="宋体" w:hint="eastAsia"/>
        </w:rPr>
        <w:t>绩效评价指标的设置遵循定量、定性相结合的原则，参照行业、专业标准及采集的相关数据材料制定评价标准，采用“以结果为导向、突</w:t>
      </w:r>
      <w:r>
        <w:rPr>
          <w:rFonts w:hAnsi="宋体" w:hint="eastAsia"/>
        </w:rPr>
        <w:lastRenderedPageBreak/>
        <w:t>出绩效”的绩效评价方法，对评价目标逐步分解，评价资金使用的效率与效益。评价采用预期目标与实施效果比较方法，将绩效目标与其实际所产生的效益进行对比，对项目资金的使用绩效</w:t>
      </w:r>
      <w:proofErr w:type="gramStart"/>
      <w:r>
        <w:rPr>
          <w:rFonts w:hAnsi="宋体" w:hint="eastAsia"/>
        </w:rPr>
        <w:t>作出</w:t>
      </w:r>
      <w:proofErr w:type="gramEnd"/>
      <w:r>
        <w:rPr>
          <w:rFonts w:hAnsi="宋体" w:hint="eastAsia"/>
        </w:rPr>
        <w:t>全面评价。</w:t>
      </w:r>
    </w:p>
    <w:p w14:paraId="50C9479A" w14:textId="77777777" w:rsidR="008E58E2" w:rsidRDefault="00772BFC">
      <w:pPr>
        <w:ind w:firstLine="540"/>
        <w:rPr>
          <w:rFonts w:hAnsi="宋体"/>
        </w:rPr>
      </w:pPr>
      <w:r>
        <w:rPr>
          <w:rFonts w:hAnsi="宋体" w:hint="eastAsia"/>
        </w:rPr>
        <w:t>项目决策</w:t>
      </w:r>
      <w:r>
        <w:rPr>
          <w:rFonts w:hAnsi="宋体"/>
        </w:rPr>
        <w:t>20分，</w:t>
      </w:r>
      <w:r>
        <w:rPr>
          <w:rFonts w:hAnsi="宋体"/>
          <w:szCs w:val="27"/>
        </w:rPr>
        <w:t>该部分</w:t>
      </w:r>
      <w:r>
        <w:rPr>
          <w:rFonts w:hAnsi="宋体" w:hint="eastAsia"/>
          <w:szCs w:val="27"/>
        </w:rPr>
        <w:t>反映项目立项是否经过科学的决策程序，绩效</w:t>
      </w:r>
      <w:r>
        <w:rPr>
          <w:rFonts w:hAnsi="宋体"/>
          <w:szCs w:val="27"/>
        </w:rPr>
        <w:t>目标设置是否合理</w:t>
      </w:r>
      <w:r>
        <w:rPr>
          <w:rFonts w:hAnsi="宋体" w:hint="eastAsia"/>
          <w:szCs w:val="27"/>
        </w:rPr>
        <w:t>、</w:t>
      </w:r>
      <w:r>
        <w:rPr>
          <w:rFonts w:hAnsi="宋体"/>
          <w:szCs w:val="27"/>
        </w:rPr>
        <w:t>明确，</w:t>
      </w:r>
      <w:r>
        <w:rPr>
          <w:rFonts w:hAnsi="宋体" w:hint="eastAsia"/>
          <w:szCs w:val="27"/>
        </w:rPr>
        <w:t>项目预算编制</w:t>
      </w:r>
      <w:r>
        <w:rPr>
          <w:rFonts w:hAnsi="宋体"/>
          <w:szCs w:val="27"/>
        </w:rPr>
        <w:t>是否</w:t>
      </w:r>
      <w:r>
        <w:rPr>
          <w:rFonts w:hAnsi="宋体" w:hint="eastAsia"/>
          <w:szCs w:val="27"/>
        </w:rPr>
        <w:t>科学、合理</w:t>
      </w:r>
      <w:r>
        <w:rPr>
          <w:rFonts w:hAnsi="宋体"/>
          <w:szCs w:val="27"/>
        </w:rPr>
        <w:t>等情况。</w:t>
      </w:r>
    </w:p>
    <w:p w14:paraId="54CCC54C" w14:textId="77777777" w:rsidR="008E58E2" w:rsidRDefault="00772BFC">
      <w:pPr>
        <w:ind w:firstLine="540"/>
        <w:rPr>
          <w:rFonts w:hAnsi="宋体"/>
        </w:rPr>
      </w:pPr>
      <w:r>
        <w:rPr>
          <w:rFonts w:hAnsi="宋体" w:hint="eastAsia"/>
          <w:szCs w:val="27"/>
        </w:rPr>
        <w:t>项目过程</w:t>
      </w:r>
      <w:r>
        <w:rPr>
          <w:rFonts w:hAnsi="宋体"/>
          <w:szCs w:val="27"/>
        </w:rPr>
        <w:t>20分</w:t>
      </w:r>
      <w:r>
        <w:rPr>
          <w:rFonts w:hAnsi="宋体"/>
        </w:rPr>
        <w:t>，该部分反映项目</w:t>
      </w:r>
      <w:r>
        <w:rPr>
          <w:rFonts w:hAnsi="宋体" w:hint="eastAsia"/>
        </w:rPr>
        <w:t>管理</w:t>
      </w:r>
      <w:r>
        <w:rPr>
          <w:rFonts w:hAnsi="宋体"/>
        </w:rPr>
        <w:t>情况，包括项目</w:t>
      </w:r>
      <w:r>
        <w:rPr>
          <w:rFonts w:hAnsi="宋体" w:hint="eastAsia"/>
        </w:rPr>
        <w:t>资金管理和组织实施两</w:t>
      </w:r>
      <w:r>
        <w:rPr>
          <w:rFonts w:hAnsi="宋体"/>
        </w:rPr>
        <w:t>方面内容。主要包括项目</w:t>
      </w:r>
      <w:r>
        <w:rPr>
          <w:rFonts w:hAnsi="宋体" w:hint="eastAsia"/>
        </w:rPr>
        <w:t>预算执行情况、资金使用合</w:t>
      </w:r>
      <w:proofErr w:type="gramStart"/>
      <w:r>
        <w:rPr>
          <w:rFonts w:hAnsi="宋体" w:hint="eastAsia"/>
        </w:rPr>
        <w:t>规</w:t>
      </w:r>
      <w:proofErr w:type="gramEnd"/>
      <w:r>
        <w:rPr>
          <w:rFonts w:hAnsi="宋体" w:hint="eastAsia"/>
        </w:rPr>
        <w:t>性、管理制度健全性、制度执行有效性</w:t>
      </w:r>
      <w:r>
        <w:rPr>
          <w:rFonts w:hAnsi="宋体"/>
        </w:rPr>
        <w:t>等内容。</w:t>
      </w:r>
    </w:p>
    <w:p w14:paraId="4EB9D318" w14:textId="77777777" w:rsidR="008E58E2" w:rsidRDefault="00772BFC">
      <w:pPr>
        <w:ind w:firstLine="540"/>
        <w:rPr>
          <w:rFonts w:hAnsi="宋体"/>
        </w:rPr>
      </w:pPr>
      <w:r>
        <w:rPr>
          <w:rFonts w:hAnsi="宋体" w:hint="eastAsia"/>
          <w:szCs w:val="27"/>
        </w:rPr>
        <w:t>项目产出及</w:t>
      </w:r>
      <w:r>
        <w:rPr>
          <w:rFonts w:hAnsi="宋体"/>
          <w:szCs w:val="27"/>
        </w:rPr>
        <w:t>效益</w:t>
      </w:r>
      <w:r>
        <w:rPr>
          <w:rFonts w:hAnsi="宋体" w:hint="eastAsia"/>
          <w:szCs w:val="27"/>
        </w:rPr>
        <w:t>6</w:t>
      </w:r>
      <w:r>
        <w:rPr>
          <w:rFonts w:hAnsi="宋体"/>
          <w:szCs w:val="27"/>
        </w:rPr>
        <w:t>0分</w:t>
      </w:r>
      <w:r>
        <w:rPr>
          <w:rFonts w:hAnsi="宋体"/>
        </w:rPr>
        <w:t>，该部分反映项目产出按项目目标要求的实现程度，项目产生</w:t>
      </w:r>
      <w:r>
        <w:rPr>
          <w:rFonts w:hAnsi="宋体" w:hint="eastAsia"/>
        </w:rPr>
        <w:t>的</w:t>
      </w:r>
      <w:r>
        <w:rPr>
          <w:rFonts w:hAnsi="宋体"/>
        </w:rPr>
        <w:t>社会效益</w:t>
      </w:r>
      <w:r>
        <w:rPr>
          <w:rFonts w:hAnsi="宋体" w:hint="eastAsia"/>
        </w:rPr>
        <w:t>和</w:t>
      </w:r>
      <w:proofErr w:type="gramStart"/>
      <w:r>
        <w:rPr>
          <w:rFonts w:hAnsi="宋体"/>
        </w:rPr>
        <w:t>可</w:t>
      </w:r>
      <w:proofErr w:type="gramEnd"/>
      <w:r>
        <w:rPr>
          <w:rFonts w:hAnsi="宋体"/>
        </w:rPr>
        <w:t>持续影响等。</w:t>
      </w:r>
    </w:p>
    <w:p w14:paraId="49E41B6E" w14:textId="77777777" w:rsidR="008E58E2" w:rsidRDefault="00772BFC">
      <w:pPr>
        <w:pStyle w:val="3"/>
        <w:ind w:firstLine="562"/>
      </w:pPr>
      <w:r>
        <w:rPr>
          <w:rFonts w:hint="eastAsia"/>
        </w:rPr>
        <w:t>3.评价方法</w:t>
      </w:r>
    </w:p>
    <w:p w14:paraId="4EFD3163" w14:textId="77777777" w:rsidR="008E58E2" w:rsidRDefault="00772BFC">
      <w:pPr>
        <w:pStyle w:val="a6"/>
        <w:ind w:firstLine="540"/>
      </w:pPr>
      <w:r>
        <w:t>通过研究分析</w:t>
      </w:r>
      <w:r>
        <w:rPr>
          <w:rFonts w:hint="eastAsia"/>
        </w:rPr>
        <w:t>中小学消防改造、幼儿园生均公用经费及2017-2019年校车运行费项目</w:t>
      </w:r>
      <w:r>
        <w:t>的实施情况</w:t>
      </w:r>
      <w:r>
        <w:rPr>
          <w:rFonts w:hint="eastAsia"/>
        </w:rPr>
        <w:t>，</w:t>
      </w:r>
      <w:r>
        <w:t>我们根据我公司所确定的技术原则</w:t>
      </w:r>
      <w:r>
        <w:rPr>
          <w:rFonts w:hint="eastAsia"/>
        </w:rPr>
        <w:t>，</w:t>
      </w:r>
      <w:r>
        <w:t>采取</w:t>
      </w:r>
      <w:r>
        <w:rPr>
          <w:b/>
        </w:rPr>
        <w:t>比较法</w:t>
      </w:r>
      <w:r>
        <w:rPr>
          <w:rFonts w:hint="eastAsia"/>
          <w:b/>
        </w:rPr>
        <w:t>、</w:t>
      </w:r>
      <w:r>
        <w:rPr>
          <w:b/>
        </w:rPr>
        <w:t>案卷研究法、专家评判法</w:t>
      </w:r>
      <w:r>
        <w:rPr>
          <w:rFonts w:hint="eastAsia"/>
          <w:b/>
        </w:rPr>
        <w:t>、</w:t>
      </w:r>
      <w:r>
        <w:rPr>
          <w:b/>
        </w:rPr>
        <w:t>实地</w:t>
      </w:r>
      <w:r>
        <w:rPr>
          <w:rFonts w:hint="eastAsia"/>
          <w:b/>
        </w:rPr>
        <w:t>调查</w:t>
      </w:r>
      <w:r>
        <w:rPr>
          <w:b/>
        </w:rPr>
        <w:t>法</w:t>
      </w:r>
      <w:r>
        <w:t>相结合的方式进行。</w:t>
      </w:r>
      <w:r>
        <w:rPr>
          <w:rFonts w:hint="eastAsia"/>
        </w:rPr>
        <w:t xml:space="preserve"> </w:t>
      </w:r>
    </w:p>
    <w:p w14:paraId="625C886A" w14:textId="77777777" w:rsidR="008E58E2" w:rsidRDefault="00772BFC">
      <w:pPr>
        <w:pStyle w:val="a6"/>
        <w:ind w:firstLine="540"/>
      </w:pPr>
      <w:r>
        <w:rPr>
          <w:rFonts w:hint="eastAsia"/>
        </w:rPr>
        <w:t>①比较法</w:t>
      </w:r>
    </w:p>
    <w:p w14:paraId="12EA4877" w14:textId="77777777" w:rsidR="008E58E2" w:rsidRDefault="00772BFC">
      <w:pPr>
        <w:pStyle w:val="a6"/>
        <w:ind w:firstLine="540"/>
      </w:pPr>
      <w:r>
        <w:rPr>
          <w:rFonts w:hint="eastAsia"/>
        </w:rPr>
        <w:t>是指通过对绩效目标与实施效果、历史与当期情况、不同部门和地区同类支出的比较，综合分析绩效目标实现程度。比较法主要适用于财政项目资金管理，通常也通过一些案例的对比分析来进行方案的选择，进行评判。</w:t>
      </w:r>
    </w:p>
    <w:p w14:paraId="40EABDAB" w14:textId="77777777" w:rsidR="008E58E2" w:rsidRDefault="00772BFC">
      <w:pPr>
        <w:ind w:firstLine="540"/>
      </w:pPr>
      <w:r>
        <w:rPr>
          <w:rFonts w:hint="eastAsia"/>
        </w:rPr>
        <w:t>②案卷研究法</w:t>
      </w:r>
    </w:p>
    <w:p w14:paraId="087B2B0E" w14:textId="77777777" w:rsidR="008E58E2" w:rsidRDefault="00772BFC">
      <w:pPr>
        <w:ind w:firstLine="540"/>
      </w:pPr>
      <w:r>
        <w:rPr>
          <w:rFonts w:hint="eastAsia"/>
        </w:rPr>
        <w:t>案卷研究法是研究证据收集的重要信息采集手段，从现有资料的梳理中获得大量有用证据，获得资金使用状况相关的材料，评价资金使用和管理的状况。</w:t>
      </w:r>
    </w:p>
    <w:p w14:paraId="782F7B12" w14:textId="77777777" w:rsidR="008E58E2" w:rsidRDefault="00772BFC">
      <w:pPr>
        <w:ind w:firstLine="540"/>
      </w:pPr>
      <w:r>
        <w:rPr>
          <w:rFonts w:hint="eastAsia"/>
        </w:rPr>
        <w:t>案卷研究的证据收集包括案卷定位、信息检索、信息汇总、真实性检验、一手资料辅证检验等五个步骤。</w:t>
      </w:r>
    </w:p>
    <w:p w14:paraId="28F46918" w14:textId="77777777" w:rsidR="005C740A" w:rsidRDefault="005C740A">
      <w:pPr>
        <w:spacing w:before="156" w:after="156"/>
        <w:ind w:firstLine="480"/>
        <w:jc w:val="center"/>
        <w:rPr>
          <w:rFonts w:ascii="Arial" w:eastAsia="幼圆" w:hAnsi="Arial" w:cs="Arial"/>
          <w:kern w:val="1"/>
          <w:sz w:val="24"/>
          <w:szCs w:val="21"/>
        </w:rPr>
        <w:sectPr w:rsidR="005C740A" w:rsidSect="00AC30B7">
          <w:headerReference w:type="even" r:id="rId7"/>
          <w:headerReference w:type="default" r:id="rId8"/>
          <w:footerReference w:type="even" r:id="rId9"/>
          <w:footerReference w:type="default" r:id="rId10"/>
          <w:headerReference w:type="first" r:id="rId11"/>
          <w:footerReference w:type="first" r:id="rId12"/>
          <w:pgSz w:w="11906" w:h="16838"/>
          <w:pgMar w:top="1702" w:right="1803" w:bottom="1440" w:left="1803" w:header="1276" w:footer="850" w:gutter="0"/>
          <w:cols w:space="720"/>
        </w:sectPr>
      </w:pPr>
    </w:p>
    <w:p w14:paraId="50914A37" w14:textId="68A1F9AE" w:rsidR="008E58E2" w:rsidRDefault="00772BFC" w:rsidP="005C740A">
      <w:pPr>
        <w:spacing w:before="156" w:after="156"/>
        <w:ind w:firstLineChars="0" w:firstLine="0"/>
        <w:jc w:val="center"/>
        <w:rPr>
          <w:rFonts w:ascii="Arial" w:eastAsia="幼圆" w:hAnsi="Arial" w:cs="Arial"/>
          <w:kern w:val="1"/>
          <w:sz w:val="24"/>
          <w:szCs w:val="21"/>
        </w:rPr>
      </w:pPr>
      <w:r>
        <w:rPr>
          <w:rFonts w:ascii="Arial" w:eastAsia="幼圆" w:hAnsi="Arial" w:cs="Arial"/>
          <w:kern w:val="1"/>
          <w:sz w:val="24"/>
          <w:szCs w:val="21"/>
        </w:rPr>
        <w:lastRenderedPageBreak/>
        <w:t>案卷研究流程图</w:t>
      </w:r>
    </w:p>
    <w:p w14:paraId="70D8F060" w14:textId="77777777" w:rsidR="008E58E2" w:rsidRDefault="00772BFC">
      <w:pPr>
        <w:pStyle w:val="a6"/>
        <w:ind w:left="540" w:firstLine="540"/>
      </w:pPr>
      <w:r>
        <w:rPr>
          <w:noProof/>
        </w:rPr>
        <w:drawing>
          <wp:anchor distT="0" distB="0" distL="114300" distR="114300" simplePos="0" relativeHeight="251657216" behindDoc="0" locked="0" layoutInCell="0" allowOverlap="1" wp14:anchorId="0DAE0AAA" wp14:editId="68DBD334">
            <wp:simplePos x="0" y="0"/>
            <wp:positionH relativeFrom="page">
              <wp:align>center</wp:align>
            </wp:positionH>
            <wp:positionV relativeFrom="paragraph">
              <wp:posOffset>-51435</wp:posOffset>
            </wp:positionV>
            <wp:extent cx="5608320" cy="914400"/>
            <wp:effectExtent l="0" t="0" r="11430" b="0"/>
            <wp:wrapNone/>
            <wp:docPr id="1" name="图片模式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模式3"/>
                    <pic:cNvPicPr>
                      <a:picLocks noRot="1" noChangeAspect="1"/>
                    </pic:cNvPicPr>
                  </pic:nvPicPr>
                  <pic:blipFill>
                    <a:blip r:embed="rId13"/>
                    <a:stretch>
                      <a:fillRect/>
                    </a:stretch>
                  </pic:blipFill>
                  <pic:spPr>
                    <a:xfrm>
                      <a:off x="0" y="0"/>
                      <a:ext cx="5608320" cy="914400"/>
                    </a:xfrm>
                    <a:prstGeom prst="rect">
                      <a:avLst/>
                    </a:prstGeom>
                    <a:noFill/>
                    <a:ln>
                      <a:noFill/>
                    </a:ln>
                  </pic:spPr>
                </pic:pic>
              </a:graphicData>
            </a:graphic>
          </wp:anchor>
        </w:drawing>
      </w:r>
    </w:p>
    <w:p w14:paraId="4D8A8F41" w14:textId="77777777" w:rsidR="008E58E2" w:rsidRDefault="008E58E2">
      <w:pPr>
        <w:pStyle w:val="a6"/>
        <w:ind w:left="540" w:firstLine="540"/>
      </w:pPr>
    </w:p>
    <w:p w14:paraId="57A69E88" w14:textId="77777777" w:rsidR="008E58E2" w:rsidRDefault="008E58E2">
      <w:pPr>
        <w:pStyle w:val="a6"/>
        <w:ind w:left="540" w:firstLine="540"/>
      </w:pPr>
    </w:p>
    <w:p w14:paraId="2E1CB328" w14:textId="77777777" w:rsidR="008E58E2" w:rsidRDefault="00772BFC">
      <w:pPr>
        <w:ind w:firstLine="540"/>
      </w:pPr>
      <w:r>
        <w:rPr>
          <w:rFonts w:hint="eastAsia"/>
        </w:rPr>
        <w:t>③专家评判法</w:t>
      </w:r>
    </w:p>
    <w:p w14:paraId="1E11C0A7" w14:textId="77777777" w:rsidR="008E58E2" w:rsidRDefault="00772BFC">
      <w:pPr>
        <w:ind w:firstLine="540"/>
      </w:pPr>
      <w:r>
        <w:rPr>
          <w:rFonts w:hint="eastAsia"/>
        </w:rPr>
        <w:t>专家评价法是根据评价依据所规定的资料目录，审核本项目的关键评价问题与评价指标，发现评价实施过程中可能存在的问题，评议本项目的绩效评价措施、方法及绩效评价意见，为绩效评价工作提供定性参考依据。</w:t>
      </w:r>
    </w:p>
    <w:p w14:paraId="2A188635" w14:textId="77777777" w:rsidR="008E58E2" w:rsidRDefault="00772BFC">
      <w:pPr>
        <w:spacing w:before="156" w:after="156"/>
        <w:ind w:firstLine="542"/>
        <w:jc w:val="center"/>
        <w:rPr>
          <w:rFonts w:ascii="Arial" w:eastAsia="幼圆" w:hAnsi="Arial" w:cs="Arial"/>
          <w:kern w:val="1"/>
          <w:sz w:val="24"/>
          <w:szCs w:val="21"/>
        </w:rPr>
      </w:pPr>
      <w:r>
        <w:rPr>
          <w:rFonts w:ascii="Arial" w:eastAsia="仿宋" w:hAnsi="Arial" w:cs="Arial"/>
          <w:b/>
          <w:noProof/>
          <w:kern w:val="1"/>
          <w:szCs w:val="21"/>
        </w:rPr>
        <w:drawing>
          <wp:anchor distT="0" distB="0" distL="114300" distR="114300" simplePos="0" relativeHeight="251656192" behindDoc="0" locked="0" layoutInCell="0" allowOverlap="1" wp14:anchorId="54425B9D" wp14:editId="10C17B31">
            <wp:simplePos x="0" y="0"/>
            <wp:positionH relativeFrom="page">
              <wp:posOffset>1096010</wp:posOffset>
            </wp:positionH>
            <wp:positionV relativeFrom="paragraph">
              <wp:posOffset>227965</wp:posOffset>
            </wp:positionV>
            <wp:extent cx="5565775" cy="1048385"/>
            <wp:effectExtent l="0" t="0" r="15875" b="18415"/>
            <wp:wrapNone/>
            <wp:docPr id="3" name="图片模式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模式4"/>
                    <pic:cNvPicPr>
                      <a:picLocks noRot="1" noChangeAspect="1"/>
                    </pic:cNvPicPr>
                  </pic:nvPicPr>
                  <pic:blipFill>
                    <a:blip r:embed="rId14"/>
                    <a:stretch>
                      <a:fillRect/>
                    </a:stretch>
                  </pic:blipFill>
                  <pic:spPr>
                    <a:xfrm>
                      <a:off x="0" y="0"/>
                      <a:ext cx="5565775" cy="1048385"/>
                    </a:xfrm>
                    <a:prstGeom prst="rect">
                      <a:avLst/>
                    </a:prstGeom>
                    <a:noFill/>
                    <a:ln>
                      <a:noFill/>
                    </a:ln>
                  </pic:spPr>
                </pic:pic>
              </a:graphicData>
            </a:graphic>
          </wp:anchor>
        </w:drawing>
      </w:r>
      <w:r>
        <w:rPr>
          <w:rFonts w:ascii="Arial" w:eastAsia="幼圆" w:hAnsi="Arial" w:cs="Arial"/>
          <w:kern w:val="1"/>
          <w:sz w:val="24"/>
          <w:szCs w:val="21"/>
        </w:rPr>
        <w:t>专家评审会实施程序</w:t>
      </w:r>
    </w:p>
    <w:p w14:paraId="09E17A4C" w14:textId="77777777" w:rsidR="008E58E2" w:rsidRDefault="008E58E2">
      <w:pPr>
        <w:spacing w:before="156" w:after="156"/>
        <w:ind w:firstLine="480"/>
        <w:jc w:val="center"/>
        <w:rPr>
          <w:rFonts w:ascii="Arial" w:eastAsia="幼圆" w:hAnsi="Arial" w:cs="Arial"/>
          <w:kern w:val="1"/>
          <w:sz w:val="24"/>
          <w:szCs w:val="21"/>
        </w:rPr>
      </w:pPr>
    </w:p>
    <w:p w14:paraId="2A1D5D53" w14:textId="77777777" w:rsidR="008E58E2" w:rsidRDefault="008E58E2">
      <w:pPr>
        <w:pStyle w:val="a6"/>
        <w:ind w:firstLine="540"/>
      </w:pPr>
    </w:p>
    <w:p w14:paraId="4391F6F8" w14:textId="77777777" w:rsidR="008E58E2" w:rsidRDefault="00772BFC">
      <w:pPr>
        <w:ind w:firstLine="540"/>
        <w:rPr>
          <w:rFonts w:hAnsi="宋体" w:cs="宋体"/>
        </w:rPr>
      </w:pPr>
      <w:r>
        <w:rPr>
          <w:rFonts w:hAnsi="宋体" w:cs="宋体" w:hint="eastAsia"/>
        </w:rPr>
        <w:t>④实地调查法</w:t>
      </w:r>
    </w:p>
    <w:p w14:paraId="51BC5C50" w14:textId="77777777" w:rsidR="008E58E2" w:rsidRDefault="00772BFC">
      <w:pPr>
        <w:ind w:firstLine="540"/>
        <w:rPr>
          <w:rFonts w:hAnsi="宋体" w:cs="宋体"/>
        </w:rPr>
      </w:pPr>
      <w:r>
        <w:rPr>
          <w:rFonts w:hAnsi="宋体" w:cs="宋体" w:hint="eastAsia"/>
        </w:rPr>
        <w:t>本项目中，我们对中小学消防改造、幼儿园生均公用经费及2017-2019年校车运行费项目建设、资金的拨付、管理等情况进行现场实地考察，并通过视音频、图片等多种方式予以取证存档。</w:t>
      </w:r>
    </w:p>
    <w:p w14:paraId="422E4932" w14:textId="77777777" w:rsidR="008E58E2" w:rsidRDefault="00772BFC">
      <w:pPr>
        <w:pStyle w:val="2"/>
        <w:ind w:firstLine="562"/>
      </w:pPr>
      <w:bookmarkStart w:id="21" w:name="_Toc28118"/>
      <w:r>
        <w:rPr>
          <w:rFonts w:hint="eastAsia"/>
        </w:rPr>
        <w:t>（三）绩效评价工作过程</w:t>
      </w:r>
      <w:bookmarkEnd w:id="21"/>
    </w:p>
    <w:p w14:paraId="04BADEBB" w14:textId="77777777" w:rsidR="008E58E2" w:rsidRDefault="00772BFC">
      <w:pPr>
        <w:ind w:firstLine="540"/>
        <w:rPr>
          <w:rFonts w:hAnsi="宋体" w:cs="宋体"/>
          <w:kern w:val="1"/>
          <w:szCs w:val="27"/>
        </w:rPr>
      </w:pPr>
      <w:r>
        <w:rPr>
          <w:rFonts w:hAnsi="宋体" w:cs="宋体"/>
          <w:kern w:val="1"/>
          <w:szCs w:val="27"/>
        </w:rPr>
        <w:t>山东皓诚投资咨询有限公司实行绩效评价</w:t>
      </w:r>
      <w:r>
        <w:rPr>
          <w:rFonts w:ascii="黑体" w:eastAsia="黑体" w:hAnsi="黑体" w:cs="黑体"/>
          <w:kern w:val="1"/>
          <w:szCs w:val="27"/>
        </w:rPr>
        <w:t>“专家评审制”“审委会审核制”“最后一票反对制”</w:t>
      </w:r>
      <w:r>
        <w:rPr>
          <w:rFonts w:hAnsi="宋体" w:cs="宋体"/>
          <w:kern w:val="1"/>
          <w:szCs w:val="27"/>
        </w:rPr>
        <w:t>工作机制，并贯穿评价准备、评价实施、评价总结的各个阶段，以确保公司业务的质量与客观公正。</w:t>
      </w:r>
    </w:p>
    <w:p w14:paraId="0FFF5E10" w14:textId="77777777" w:rsidR="008E58E2" w:rsidRDefault="00772BFC">
      <w:pPr>
        <w:ind w:firstLine="540"/>
        <w:rPr>
          <w:kern w:val="1"/>
          <w:szCs w:val="27"/>
        </w:rPr>
      </w:pPr>
      <w:r>
        <w:rPr>
          <w:rFonts w:ascii="黑体" w:eastAsia="黑体" w:hAnsi="黑体" w:cs="黑体"/>
          <w:kern w:val="1"/>
          <w:szCs w:val="27"/>
        </w:rPr>
        <w:t>“专家评审制”：</w:t>
      </w:r>
      <w:r>
        <w:rPr>
          <w:kern w:val="1"/>
          <w:szCs w:val="27"/>
        </w:rPr>
        <w:t>山东</w:t>
      </w:r>
      <w:proofErr w:type="gramStart"/>
      <w:r>
        <w:rPr>
          <w:kern w:val="1"/>
          <w:szCs w:val="27"/>
        </w:rPr>
        <w:t>皓</w:t>
      </w:r>
      <w:proofErr w:type="gramEnd"/>
      <w:r>
        <w:rPr>
          <w:kern w:val="1"/>
          <w:szCs w:val="27"/>
        </w:rPr>
        <w:t>诚与山东理工大学等院校机构和相关领域专家展开深度合作，征集收录区域内覆盖工信科技、财政金融、农林水、城市建设、工程建设、教育卫生、公共管理等领域的学者、专家，建立了多层次、多领域的外聘专家队伍。在绩效评价过程中，公司通过组织各领域的专家，运用其专业方面的知识和经验，对评价对象过去和现在</w:t>
      </w:r>
      <w:r>
        <w:rPr>
          <w:kern w:val="1"/>
          <w:szCs w:val="27"/>
        </w:rPr>
        <w:lastRenderedPageBreak/>
        <w:t>的状况、发展变化过程进行综合分析与研究，审核绩效评价项目的关键评价问题与评价指标，发现评价实施过程中可能存在的问题，评议本项目的绩效评价措施、方法及绩效评价意见，为绩效评价工作提供定性或定量参考依据。</w:t>
      </w:r>
    </w:p>
    <w:p w14:paraId="52C85325" w14:textId="77777777" w:rsidR="008E58E2" w:rsidRDefault="00772BFC">
      <w:pPr>
        <w:ind w:firstLine="540"/>
        <w:rPr>
          <w:rFonts w:hAnsi="宋体" w:cs="宋体"/>
          <w:kern w:val="1"/>
          <w:szCs w:val="27"/>
        </w:rPr>
      </w:pPr>
      <w:r>
        <w:rPr>
          <w:rFonts w:ascii="黑体" w:eastAsia="黑体" w:hAnsi="黑体" w:cs="黑体" w:hint="eastAsia"/>
          <w:kern w:val="1"/>
          <w:szCs w:val="27"/>
        </w:rPr>
        <w:t>“审委会</w:t>
      </w:r>
      <w:r>
        <w:rPr>
          <w:rFonts w:ascii="黑体" w:eastAsia="黑体" w:hAnsi="黑体" w:cs="黑体"/>
          <w:kern w:val="1"/>
          <w:szCs w:val="27"/>
        </w:rPr>
        <w:t>审核制</w:t>
      </w:r>
      <w:r>
        <w:rPr>
          <w:rFonts w:ascii="黑体" w:eastAsia="黑体" w:hAnsi="黑体" w:cs="黑体" w:hint="eastAsia"/>
          <w:kern w:val="1"/>
          <w:szCs w:val="27"/>
        </w:rPr>
        <w:t>”：</w:t>
      </w:r>
      <w:r>
        <w:rPr>
          <w:rFonts w:hAnsi="宋体" w:cs="宋体" w:hint="eastAsia"/>
          <w:kern w:val="1"/>
          <w:szCs w:val="27"/>
        </w:rPr>
        <w:t>山东</w:t>
      </w:r>
      <w:proofErr w:type="gramStart"/>
      <w:r>
        <w:rPr>
          <w:rFonts w:hAnsi="宋体" w:cs="宋体" w:hint="eastAsia"/>
          <w:kern w:val="1"/>
          <w:szCs w:val="27"/>
        </w:rPr>
        <w:t>皓诚</w:t>
      </w:r>
      <w:r>
        <w:rPr>
          <w:rFonts w:hAnsi="宋体" w:cs="宋体"/>
          <w:kern w:val="1"/>
          <w:szCs w:val="27"/>
        </w:rPr>
        <w:t>设立</w:t>
      </w:r>
      <w:proofErr w:type="gramEnd"/>
      <w:r>
        <w:rPr>
          <w:rFonts w:hAnsi="宋体" w:cs="宋体" w:hint="eastAsia"/>
          <w:kern w:val="1"/>
          <w:szCs w:val="27"/>
        </w:rPr>
        <w:t>专业审核委员会对服务结果的质量承担最终责任。专业</w:t>
      </w:r>
      <w:r>
        <w:rPr>
          <w:rFonts w:hAnsi="宋体" w:cs="宋体"/>
          <w:kern w:val="1"/>
          <w:szCs w:val="27"/>
        </w:rPr>
        <w:t>审核委员会</w:t>
      </w:r>
      <w:r>
        <w:rPr>
          <w:rFonts w:hAnsi="宋体" w:cs="宋体" w:hint="eastAsia"/>
          <w:kern w:val="1"/>
          <w:szCs w:val="27"/>
        </w:rPr>
        <w:t>成员均为本公司高管及执业专家，在省内绩效评价领域业绩突出、经验丰富。在</w:t>
      </w:r>
      <w:r>
        <w:rPr>
          <w:rFonts w:hAnsi="宋体" w:cs="宋体"/>
          <w:kern w:val="1"/>
          <w:szCs w:val="27"/>
        </w:rPr>
        <w:t>绩效评价过程中，根据公司</w:t>
      </w:r>
      <w:r>
        <w:rPr>
          <w:rFonts w:hAnsi="宋体" w:cs="宋体" w:hint="eastAsia"/>
          <w:kern w:val="1"/>
          <w:szCs w:val="27"/>
        </w:rPr>
        <w:t>评价质量控制制度，充分考虑</w:t>
      </w:r>
      <w:r>
        <w:rPr>
          <w:rFonts w:hAnsi="宋体" w:cs="宋体"/>
          <w:kern w:val="1"/>
          <w:szCs w:val="27"/>
        </w:rPr>
        <w:t>公司</w:t>
      </w:r>
      <w:r>
        <w:rPr>
          <w:rFonts w:hAnsi="宋体" w:cs="宋体" w:hint="eastAsia"/>
          <w:kern w:val="1"/>
          <w:szCs w:val="27"/>
        </w:rPr>
        <w:t>在业务承接、业务计划、业务实施、服务结果提交等各阶段对评价风险的影响因素，确保绩效评价专业质量。</w:t>
      </w:r>
    </w:p>
    <w:p w14:paraId="6A2A8948" w14:textId="77777777" w:rsidR="008E58E2" w:rsidRDefault="00772BFC">
      <w:pPr>
        <w:ind w:firstLine="540"/>
        <w:rPr>
          <w:rFonts w:hAnsi="宋体" w:cs="宋体"/>
          <w:kern w:val="1"/>
          <w:szCs w:val="27"/>
        </w:rPr>
      </w:pPr>
      <w:r>
        <w:rPr>
          <w:rFonts w:ascii="黑体" w:eastAsia="黑体" w:hAnsi="黑体" w:cs="黑体" w:hint="eastAsia"/>
          <w:kern w:val="1"/>
          <w:szCs w:val="27"/>
        </w:rPr>
        <w:t>“最后</w:t>
      </w:r>
      <w:r>
        <w:rPr>
          <w:rFonts w:ascii="黑体" w:eastAsia="黑体" w:hAnsi="黑体" w:cs="黑体"/>
          <w:kern w:val="1"/>
          <w:szCs w:val="27"/>
        </w:rPr>
        <w:t>一票</w:t>
      </w:r>
      <w:r>
        <w:rPr>
          <w:rFonts w:ascii="黑体" w:eastAsia="黑体" w:hAnsi="黑体" w:cs="黑体" w:hint="eastAsia"/>
          <w:kern w:val="1"/>
          <w:szCs w:val="27"/>
        </w:rPr>
        <w:t>反对</w:t>
      </w:r>
      <w:r>
        <w:rPr>
          <w:rFonts w:ascii="黑体" w:eastAsia="黑体" w:hAnsi="黑体" w:cs="黑体"/>
          <w:kern w:val="1"/>
          <w:szCs w:val="27"/>
        </w:rPr>
        <w:t>制</w:t>
      </w:r>
      <w:r>
        <w:rPr>
          <w:rFonts w:ascii="黑体" w:eastAsia="黑体" w:hAnsi="黑体" w:cs="黑体" w:hint="eastAsia"/>
          <w:kern w:val="1"/>
          <w:szCs w:val="27"/>
        </w:rPr>
        <w:t>”：</w:t>
      </w:r>
      <w:r>
        <w:rPr>
          <w:rFonts w:hAnsi="宋体" w:cs="宋体" w:hint="eastAsia"/>
          <w:kern w:val="1"/>
          <w:szCs w:val="27"/>
        </w:rPr>
        <w:t>基于</w:t>
      </w:r>
      <w:r>
        <w:rPr>
          <w:rFonts w:hAnsi="宋体" w:cs="宋体"/>
          <w:kern w:val="1"/>
          <w:szCs w:val="27"/>
        </w:rPr>
        <w:t>“</w:t>
      </w:r>
      <w:r>
        <w:rPr>
          <w:rFonts w:hAnsi="宋体" w:cs="宋体" w:hint="eastAsia"/>
          <w:kern w:val="1"/>
          <w:szCs w:val="27"/>
        </w:rPr>
        <w:t>第十人</w:t>
      </w:r>
      <w:r>
        <w:rPr>
          <w:rFonts w:hAnsi="宋体" w:cs="宋体"/>
          <w:kern w:val="1"/>
          <w:szCs w:val="27"/>
        </w:rPr>
        <w:t>理论”</w:t>
      </w:r>
      <w:r>
        <w:rPr>
          <w:rFonts w:hAnsi="宋体" w:cs="宋体" w:hint="eastAsia"/>
          <w:kern w:val="1"/>
          <w:szCs w:val="27"/>
        </w:rPr>
        <w:t>，</w:t>
      </w:r>
      <w:r>
        <w:rPr>
          <w:rFonts w:hAnsi="宋体" w:cs="宋体"/>
          <w:kern w:val="1"/>
          <w:szCs w:val="27"/>
        </w:rPr>
        <w:t>山东</w:t>
      </w:r>
      <w:proofErr w:type="gramStart"/>
      <w:r>
        <w:rPr>
          <w:rFonts w:hAnsi="宋体" w:cs="宋体"/>
          <w:kern w:val="1"/>
          <w:szCs w:val="27"/>
        </w:rPr>
        <w:t>皓</w:t>
      </w:r>
      <w:proofErr w:type="gramEnd"/>
      <w:r>
        <w:rPr>
          <w:rFonts w:hAnsi="宋体" w:cs="宋体"/>
          <w:kern w:val="1"/>
          <w:szCs w:val="27"/>
        </w:rPr>
        <w:t>诚在评价方案、评价指标体系</w:t>
      </w:r>
      <w:r>
        <w:rPr>
          <w:rFonts w:hAnsi="宋体" w:cs="宋体" w:hint="eastAsia"/>
          <w:kern w:val="1"/>
          <w:szCs w:val="27"/>
        </w:rPr>
        <w:t>以及</w:t>
      </w:r>
      <w:r>
        <w:rPr>
          <w:rFonts w:hAnsi="宋体" w:cs="宋体"/>
          <w:kern w:val="1"/>
          <w:szCs w:val="27"/>
        </w:rPr>
        <w:t>评价报告</w:t>
      </w:r>
      <w:r>
        <w:rPr>
          <w:rFonts w:hAnsi="宋体" w:cs="宋体" w:hint="eastAsia"/>
          <w:kern w:val="1"/>
          <w:szCs w:val="27"/>
        </w:rPr>
        <w:t>的</w:t>
      </w:r>
      <w:r>
        <w:rPr>
          <w:rFonts w:hAnsi="宋体" w:cs="宋体"/>
          <w:kern w:val="1"/>
          <w:szCs w:val="27"/>
        </w:rPr>
        <w:t>审核</w:t>
      </w:r>
      <w:r>
        <w:rPr>
          <w:rFonts w:hAnsi="宋体" w:cs="宋体" w:hint="eastAsia"/>
          <w:kern w:val="1"/>
          <w:szCs w:val="27"/>
        </w:rPr>
        <w:t>、</w:t>
      </w:r>
      <w:r>
        <w:rPr>
          <w:rFonts w:hAnsi="宋体" w:cs="宋体"/>
          <w:kern w:val="1"/>
          <w:szCs w:val="27"/>
        </w:rPr>
        <w:t>审议</w:t>
      </w:r>
      <w:r>
        <w:rPr>
          <w:rFonts w:hAnsi="宋体" w:cs="宋体" w:hint="eastAsia"/>
          <w:kern w:val="1"/>
          <w:szCs w:val="27"/>
        </w:rPr>
        <w:t>、</w:t>
      </w:r>
      <w:r>
        <w:rPr>
          <w:rFonts w:hAnsi="宋体" w:cs="宋体"/>
          <w:kern w:val="1"/>
          <w:szCs w:val="27"/>
        </w:rPr>
        <w:t>总结过程中，实行“</w:t>
      </w:r>
      <w:r>
        <w:rPr>
          <w:rFonts w:hAnsi="宋体" w:cs="宋体" w:hint="eastAsia"/>
          <w:kern w:val="1"/>
          <w:szCs w:val="27"/>
        </w:rPr>
        <w:t>最后</w:t>
      </w:r>
      <w:r>
        <w:rPr>
          <w:rFonts w:hAnsi="宋体" w:cs="宋体"/>
          <w:kern w:val="1"/>
          <w:szCs w:val="27"/>
        </w:rPr>
        <w:t>一票</w:t>
      </w:r>
      <w:r>
        <w:rPr>
          <w:rFonts w:hAnsi="宋体" w:cs="宋体" w:hint="eastAsia"/>
          <w:kern w:val="1"/>
          <w:szCs w:val="27"/>
        </w:rPr>
        <w:t>反对</w:t>
      </w:r>
      <w:r>
        <w:rPr>
          <w:rFonts w:hAnsi="宋体" w:cs="宋体"/>
          <w:kern w:val="1"/>
          <w:szCs w:val="27"/>
        </w:rPr>
        <w:t>制”</w:t>
      </w:r>
      <w:r>
        <w:rPr>
          <w:rFonts w:hAnsi="宋体" w:cs="宋体" w:hint="eastAsia"/>
          <w:kern w:val="1"/>
          <w:szCs w:val="27"/>
        </w:rPr>
        <w:t>。</w:t>
      </w:r>
      <w:r>
        <w:rPr>
          <w:rFonts w:hAnsi="宋体" w:cs="宋体"/>
          <w:kern w:val="1"/>
          <w:szCs w:val="27"/>
        </w:rPr>
        <w:t>即</w:t>
      </w:r>
      <w:r>
        <w:rPr>
          <w:rFonts w:hAnsi="宋体" w:cs="宋体" w:hint="eastAsia"/>
          <w:kern w:val="1"/>
          <w:szCs w:val="27"/>
        </w:rPr>
        <w:t>为了使</w:t>
      </w:r>
      <w:r>
        <w:rPr>
          <w:rFonts w:hAnsi="宋体" w:cs="宋体"/>
          <w:kern w:val="1"/>
          <w:szCs w:val="27"/>
        </w:rPr>
        <w:t>讨论深化，在</w:t>
      </w:r>
      <w:r>
        <w:rPr>
          <w:rFonts w:hAnsi="宋体" w:cs="宋体" w:hint="eastAsia"/>
          <w:kern w:val="1"/>
          <w:szCs w:val="27"/>
        </w:rPr>
        <w:t>全体</w:t>
      </w:r>
      <w:r>
        <w:rPr>
          <w:rFonts w:hAnsi="宋体" w:cs="宋体"/>
          <w:kern w:val="1"/>
          <w:szCs w:val="27"/>
        </w:rPr>
        <w:t>成员意见趋于一致</w:t>
      </w:r>
      <w:r>
        <w:rPr>
          <w:rFonts w:hAnsi="宋体" w:cs="宋体" w:hint="eastAsia"/>
          <w:kern w:val="1"/>
          <w:szCs w:val="27"/>
        </w:rPr>
        <w:t>时，</w:t>
      </w:r>
      <w:r>
        <w:rPr>
          <w:rFonts w:hAnsi="宋体" w:cs="宋体"/>
          <w:kern w:val="1"/>
          <w:szCs w:val="27"/>
        </w:rPr>
        <w:t>最后一位成员必须提出反驳意见</w:t>
      </w:r>
      <w:r>
        <w:rPr>
          <w:rFonts w:hAnsi="宋体" w:cs="宋体" w:hint="eastAsia"/>
          <w:kern w:val="1"/>
          <w:szCs w:val="27"/>
        </w:rPr>
        <w:t>。反对者在</w:t>
      </w:r>
      <w:r>
        <w:rPr>
          <w:rFonts w:hAnsi="宋体" w:cs="宋体"/>
          <w:kern w:val="1"/>
          <w:szCs w:val="27"/>
        </w:rPr>
        <w:t>对讨论方向或初步结论</w:t>
      </w:r>
      <w:r>
        <w:rPr>
          <w:rFonts w:hAnsi="宋体" w:cs="宋体" w:hint="eastAsia"/>
          <w:kern w:val="1"/>
          <w:szCs w:val="27"/>
        </w:rPr>
        <w:t>表示</w:t>
      </w:r>
      <w:r>
        <w:rPr>
          <w:rFonts w:hAnsi="宋体" w:cs="宋体"/>
          <w:kern w:val="1"/>
          <w:szCs w:val="27"/>
        </w:rPr>
        <w:t>赞成的</w:t>
      </w:r>
      <w:r>
        <w:rPr>
          <w:rFonts w:hAnsi="宋体" w:cs="宋体" w:hint="eastAsia"/>
          <w:kern w:val="1"/>
          <w:szCs w:val="27"/>
        </w:rPr>
        <w:t>同时，不受</w:t>
      </w:r>
      <w:r>
        <w:rPr>
          <w:rFonts w:hAnsi="宋体" w:cs="宋体"/>
          <w:kern w:val="1"/>
          <w:szCs w:val="27"/>
        </w:rPr>
        <w:t>限制</w:t>
      </w:r>
      <w:r>
        <w:rPr>
          <w:rFonts w:hAnsi="宋体" w:cs="宋体" w:hint="eastAsia"/>
          <w:kern w:val="1"/>
          <w:szCs w:val="27"/>
        </w:rPr>
        <w:t>地、</w:t>
      </w:r>
      <w:r>
        <w:rPr>
          <w:rFonts w:hAnsi="宋体" w:cs="宋体"/>
          <w:kern w:val="1"/>
          <w:szCs w:val="27"/>
        </w:rPr>
        <w:t>从不同角度提出反对意见，对讨论</w:t>
      </w:r>
      <w:r>
        <w:rPr>
          <w:rFonts w:hAnsi="宋体" w:cs="宋体" w:hint="eastAsia"/>
          <w:kern w:val="1"/>
          <w:szCs w:val="27"/>
        </w:rPr>
        <w:t>的</w:t>
      </w:r>
      <w:r>
        <w:rPr>
          <w:rFonts w:hAnsi="宋体" w:cs="宋体"/>
          <w:kern w:val="1"/>
          <w:szCs w:val="27"/>
        </w:rPr>
        <w:t>前提、过程、结论提出质疑，</w:t>
      </w:r>
      <w:r>
        <w:rPr>
          <w:rFonts w:hAnsi="宋体" w:cs="宋体" w:hint="eastAsia"/>
          <w:kern w:val="1"/>
          <w:szCs w:val="27"/>
        </w:rPr>
        <w:t>探讨</w:t>
      </w:r>
      <w:r>
        <w:rPr>
          <w:rFonts w:hAnsi="宋体" w:cs="宋体"/>
          <w:kern w:val="1"/>
          <w:szCs w:val="27"/>
        </w:rPr>
        <w:t>其中可能存在的矛盾与不合理</w:t>
      </w:r>
      <w:r>
        <w:rPr>
          <w:rFonts w:hAnsi="宋体" w:cs="宋体" w:hint="eastAsia"/>
          <w:kern w:val="1"/>
          <w:szCs w:val="27"/>
        </w:rPr>
        <w:t>之处，</w:t>
      </w:r>
      <w:r>
        <w:rPr>
          <w:rFonts w:hAnsi="宋体" w:cs="宋体"/>
          <w:kern w:val="1"/>
          <w:szCs w:val="27"/>
        </w:rPr>
        <w:t>以发现更好的意见或方法</w:t>
      </w:r>
      <w:r>
        <w:rPr>
          <w:rFonts w:hAnsi="宋体" w:cs="宋体" w:hint="eastAsia"/>
          <w:kern w:val="1"/>
          <w:szCs w:val="27"/>
        </w:rPr>
        <w:t>。</w:t>
      </w:r>
    </w:p>
    <w:p w14:paraId="7CE17CFF" w14:textId="77777777" w:rsidR="008E58E2" w:rsidRDefault="00772BFC">
      <w:pPr>
        <w:pStyle w:val="3"/>
        <w:ind w:firstLine="562"/>
      </w:pPr>
      <w:bookmarkStart w:id="22" w:name="_Toc14180296"/>
      <w:r>
        <w:rPr>
          <w:rFonts w:hint="eastAsia"/>
        </w:rPr>
        <w:t>1.评价准备阶段</w:t>
      </w:r>
      <w:bookmarkEnd w:id="22"/>
    </w:p>
    <w:p w14:paraId="71854DC7" w14:textId="77777777" w:rsidR="008E58E2" w:rsidRDefault="00772BFC">
      <w:pPr>
        <w:ind w:firstLine="540"/>
        <w:rPr>
          <w:rFonts w:hAnsi="宋体" w:cs="宋体"/>
          <w:kern w:val="1"/>
          <w:szCs w:val="24"/>
        </w:rPr>
      </w:pPr>
      <w:r>
        <w:rPr>
          <w:rFonts w:hAnsi="宋体" w:cs="宋体" w:hint="eastAsia"/>
          <w:kern w:val="1"/>
          <w:szCs w:val="24"/>
        </w:rPr>
        <w:t>（1）成立绩效评价工作组，由项目负责人、各相关领域有绩效评价经验的财务、工程、管理等行业的业务人员组成。</w:t>
      </w:r>
    </w:p>
    <w:p w14:paraId="2205B0F9" w14:textId="77777777" w:rsidR="008E58E2" w:rsidRDefault="00772BFC">
      <w:pPr>
        <w:ind w:firstLine="540"/>
        <w:rPr>
          <w:rFonts w:hAnsi="宋体" w:cs="宋体"/>
          <w:kern w:val="1"/>
          <w:szCs w:val="24"/>
        </w:rPr>
      </w:pPr>
      <w:r>
        <w:rPr>
          <w:rFonts w:hAnsi="宋体" w:cs="宋体" w:hint="eastAsia"/>
          <w:kern w:val="1"/>
          <w:szCs w:val="24"/>
        </w:rPr>
        <w:t>（2）</w:t>
      </w:r>
      <w:r>
        <w:rPr>
          <w:rFonts w:hAnsi="宋体" w:cs="宋体"/>
          <w:kern w:val="1"/>
          <w:szCs w:val="24"/>
        </w:rPr>
        <w:t>拟定工作方案。</w:t>
      </w:r>
    </w:p>
    <w:p w14:paraId="4F6306AA" w14:textId="77777777" w:rsidR="008E58E2" w:rsidRDefault="00772BFC">
      <w:pPr>
        <w:ind w:firstLine="540"/>
        <w:rPr>
          <w:rFonts w:hAnsi="宋体" w:cs="宋体"/>
          <w:kern w:val="1"/>
          <w:szCs w:val="24"/>
        </w:rPr>
      </w:pPr>
      <w:r>
        <w:rPr>
          <w:rFonts w:hAnsi="宋体" w:cs="宋体" w:hint="eastAsia"/>
          <w:kern w:val="1"/>
          <w:szCs w:val="24"/>
        </w:rPr>
        <w:t>（3）与财政部门和项目单位沟通，了解、收集相关基础资料信息。</w:t>
      </w:r>
    </w:p>
    <w:p w14:paraId="2503892B" w14:textId="77777777" w:rsidR="008E58E2" w:rsidRDefault="00772BFC">
      <w:pPr>
        <w:ind w:firstLine="540"/>
        <w:rPr>
          <w:rFonts w:hAnsi="宋体" w:cs="宋体"/>
          <w:kern w:val="1"/>
          <w:szCs w:val="24"/>
        </w:rPr>
      </w:pPr>
      <w:r>
        <w:rPr>
          <w:rFonts w:hAnsi="宋体" w:cs="宋体" w:hint="eastAsia"/>
          <w:kern w:val="1"/>
          <w:szCs w:val="24"/>
        </w:rPr>
        <w:t>（4）制定绩效评价指标体系：</w:t>
      </w:r>
    </w:p>
    <w:p w14:paraId="13B1EF32" w14:textId="77777777" w:rsidR="008E58E2" w:rsidRDefault="00772BFC">
      <w:pPr>
        <w:ind w:firstLine="540"/>
        <w:rPr>
          <w:rFonts w:hAnsi="宋体" w:cs="宋体"/>
          <w:kern w:val="1"/>
          <w:szCs w:val="24"/>
        </w:rPr>
      </w:pPr>
      <w:r>
        <w:rPr>
          <w:rFonts w:hAnsi="宋体" w:cs="宋体" w:hint="eastAsia"/>
          <w:kern w:val="1"/>
          <w:szCs w:val="24"/>
        </w:rPr>
        <w:t>①拟定绩效评价指标草稿；</w:t>
      </w:r>
    </w:p>
    <w:p w14:paraId="2C3209F6" w14:textId="77777777" w:rsidR="008E58E2" w:rsidRDefault="00772BFC">
      <w:pPr>
        <w:ind w:firstLine="540"/>
        <w:rPr>
          <w:rFonts w:hAnsi="宋体" w:cs="宋体"/>
          <w:kern w:val="1"/>
          <w:szCs w:val="24"/>
        </w:rPr>
      </w:pPr>
      <w:r>
        <w:rPr>
          <w:rFonts w:hAnsi="宋体" w:cs="宋体" w:hint="eastAsia"/>
          <w:kern w:val="1"/>
          <w:szCs w:val="24"/>
        </w:rPr>
        <w:t>②专家</w:t>
      </w:r>
      <w:proofErr w:type="gramStart"/>
      <w:r>
        <w:rPr>
          <w:rFonts w:hAnsi="宋体" w:cs="宋体" w:hint="eastAsia"/>
          <w:kern w:val="1"/>
          <w:szCs w:val="24"/>
        </w:rPr>
        <w:t>评价组</w:t>
      </w:r>
      <w:proofErr w:type="gramEnd"/>
      <w:r>
        <w:rPr>
          <w:rFonts w:hAnsi="宋体" w:cs="宋体" w:hint="eastAsia"/>
          <w:kern w:val="1"/>
          <w:szCs w:val="24"/>
        </w:rPr>
        <w:t>评议；</w:t>
      </w:r>
    </w:p>
    <w:p w14:paraId="16B4F012" w14:textId="77777777" w:rsidR="008E58E2" w:rsidRDefault="00772BFC">
      <w:pPr>
        <w:ind w:firstLine="540"/>
        <w:rPr>
          <w:rFonts w:hAnsi="宋体" w:cs="宋体"/>
          <w:kern w:val="1"/>
          <w:szCs w:val="24"/>
        </w:rPr>
      </w:pPr>
      <w:r>
        <w:rPr>
          <w:rFonts w:hAnsi="宋体" w:cs="宋体" w:hint="eastAsia"/>
          <w:kern w:val="1"/>
          <w:szCs w:val="24"/>
        </w:rPr>
        <w:t>③专业审核委员会审核；</w:t>
      </w:r>
    </w:p>
    <w:p w14:paraId="366AA3E1" w14:textId="77777777" w:rsidR="008E58E2" w:rsidRDefault="00772BFC">
      <w:pPr>
        <w:ind w:firstLine="540"/>
        <w:rPr>
          <w:rFonts w:hAnsi="宋体" w:cs="宋体"/>
          <w:kern w:val="1"/>
          <w:szCs w:val="24"/>
        </w:rPr>
      </w:pPr>
      <w:r>
        <w:rPr>
          <w:rFonts w:hAnsi="宋体" w:cs="宋体" w:hint="eastAsia"/>
          <w:kern w:val="1"/>
          <w:szCs w:val="24"/>
        </w:rPr>
        <w:t>④报高新区财政局，经审查批准后组织实施。</w:t>
      </w:r>
    </w:p>
    <w:p w14:paraId="341DB133" w14:textId="77777777" w:rsidR="008E58E2" w:rsidRDefault="00772BFC">
      <w:pPr>
        <w:pStyle w:val="3"/>
        <w:ind w:firstLine="562"/>
      </w:pPr>
      <w:bookmarkStart w:id="23" w:name="_Toc14180297"/>
      <w:r>
        <w:rPr>
          <w:rFonts w:hint="eastAsia"/>
        </w:rPr>
        <w:lastRenderedPageBreak/>
        <w:t>2.评价实施阶段</w:t>
      </w:r>
      <w:bookmarkEnd w:id="23"/>
    </w:p>
    <w:p w14:paraId="7223CFC9" w14:textId="77777777" w:rsidR="008E58E2" w:rsidRDefault="00772BFC">
      <w:pPr>
        <w:ind w:firstLine="540"/>
        <w:rPr>
          <w:rFonts w:hAnsi="宋体" w:cs="宋体"/>
          <w:kern w:val="1"/>
          <w:szCs w:val="24"/>
        </w:rPr>
      </w:pPr>
      <w:r>
        <w:rPr>
          <w:rFonts w:hAnsi="宋体" w:cs="宋体" w:hint="eastAsia"/>
          <w:kern w:val="1"/>
          <w:szCs w:val="24"/>
        </w:rPr>
        <w:t>评价工作小组制定评价项目的工作计划，项目负责人监督评价工作的具体执行，以保证绩效评价业务按时完成。在评价工作分派至工作组成员后，项目负责人需要仔细指导、监督和复核分派的工作。</w:t>
      </w:r>
    </w:p>
    <w:p w14:paraId="62E73F30" w14:textId="77777777" w:rsidR="008E58E2" w:rsidRDefault="00772BFC">
      <w:pPr>
        <w:ind w:firstLine="540"/>
        <w:rPr>
          <w:rFonts w:hAnsi="宋体" w:cs="宋体"/>
          <w:kern w:val="1"/>
          <w:szCs w:val="24"/>
        </w:rPr>
      </w:pPr>
      <w:r>
        <w:rPr>
          <w:rFonts w:hAnsi="宋体" w:cs="宋体" w:hint="eastAsia"/>
          <w:kern w:val="1"/>
          <w:szCs w:val="24"/>
        </w:rPr>
        <w:t>（1）评价工作组正式进驻现场：</w:t>
      </w:r>
    </w:p>
    <w:p w14:paraId="5C70074D" w14:textId="77777777" w:rsidR="008E58E2" w:rsidRDefault="00772BFC">
      <w:pPr>
        <w:ind w:firstLine="540"/>
        <w:rPr>
          <w:rFonts w:hAnsi="宋体" w:cs="宋体"/>
          <w:kern w:val="1"/>
          <w:szCs w:val="24"/>
        </w:rPr>
      </w:pPr>
      <w:r>
        <w:rPr>
          <w:rFonts w:hAnsi="宋体" w:cs="宋体" w:hint="eastAsia"/>
          <w:kern w:val="1"/>
          <w:szCs w:val="24"/>
        </w:rPr>
        <w:t>①收集、整理、核实、审验基础数据和资料；</w:t>
      </w:r>
    </w:p>
    <w:p w14:paraId="50D50045" w14:textId="77777777" w:rsidR="008E58E2" w:rsidRDefault="00772BFC">
      <w:pPr>
        <w:ind w:firstLine="540"/>
        <w:rPr>
          <w:rFonts w:hAnsi="宋体" w:cs="宋体"/>
          <w:kern w:val="1"/>
          <w:szCs w:val="24"/>
        </w:rPr>
      </w:pPr>
      <w:r>
        <w:rPr>
          <w:rFonts w:hAnsi="宋体" w:cs="宋体" w:hint="eastAsia"/>
          <w:kern w:val="1"/>
          <w:szCs w:val="24"/>
        </w:rPr>
        <w:t>②对评价项目实地测评；</w:t>
      </w:r>
    </w:p>
    <w:p w14:paraId="1678351B" w14:textId="77777777" w:rsidR="008E58E2" w:rsidRDefault="00772BFC">
      <w:pPr>
        <w:ind w:firstLine="540"/>
        <w:rPr>
          <w:rFonts w:hAnsi="宋体" w:cs="宋体"/>
          <w:kern w:val="1"/>
          <w:szCs w:val="24"/>
        </w:rPr>
      </w:pPr>
      <w:r>
        <w:rPr>
          <w:rFonts w:hAnsi="宋体" w:cs="宋体" w:hint="eastAsia"/>
          <w:kern w:val="1"/>
          <w:szCs w:val="24"/>
        </w:rPr>
        <w:t>③与项目单位沟通，落实项目数据及相关情况。评价工作小组根据评价工作要求，到项目现场采取勘查、问询、复核等多种方式收集基础资料，包括项目实施基本情况、财政资金使用情况等各项数据资料。</w:t>
      </w:r>
    </w:p>
    <w:p w14:paraId="1C99FEB7" w14:textId="77777777" w:rsidR="008E58E2" w:rsidRDefault="00772BFC">
      <w:pPr>
        <w:ind w:firstLine="540"/>
        <w:rPr>
          <w:rFonts w:hAnsi="宋体" w:cs="宋体"/>
          <w:kern w:val="1"/>
          <w:szCs w:val="24"/>
        </w:rPr>
      </w:pPr>
      <w:r>
        <w:rPr>
          <w:rFonts w:hAnsi="宋体" w:cs="宋体" w:hint="eastAsia"/>
          <w:kern w:val="1"/>
          <w:szCs w:val="24"/>
        </w:rPr>
        <w:t>（2）对采集的数据资料进行复核汇总、分类整理和综合分析。按照设立的评价指标、标准、方法实施评价，并形成评价结论。评价工作组统计、分析、研究，得出初步结论：</w:t>
      </w:r>
    </w:p>
    <w:p w14:paraId="5ACD64E8" w14:textId="77777777" w:rsidR="008E58E2" w:rsidRDefault="00772BFC">
      <w:pPr>
        <w:ind w:firstLine="540"/>
        <w:rPr>
          <w:rFonts w:hAnsi="宋体" w:cs="宋体"/>
          <w:kern w:val="1"/>
          <w:szCs w:val="24"/>
        </w:rPr>
      </w:pPr>
      <w:r>
        <w:rPr>
          <w:rFonts w:hAnsi="宋体" w:cs="宋体" w:hint="eastAsia"/>
          <w:kern w:val="1"/>
          <w:szCs w:val="24"/>
        </w:rPr>
        <w:t>①工作组进行案卷研究，对采集的数据资料进行分类整理、复核汇总，同时根据实际情况要求有关单位补充更新资料。在评价业务中，可以安排工作组</w:t>
      </w:r>
      <w:proofErr w:type="gramStart"/>
      <w:r>
        <w:rPr>
          <w:rFonts w:hAnsi="宋体" w:cs="宋体" w:hint="eastAsia"/>
          <w:kern w:val="1"/>
          <w:szCs w:val="24"/>
        </w:rPr>
        <w:t>内经验</w:t>
      </w:r>
      <w:proofErr w:type="gramEnd"/>
      <w:r>
        <w:rPr>
          <w:rFonts w:hAnsi="宋体" w:cs="宋体" w:hint="eastAsia"/>
          <w:kern w:val="1"/>
          <w:szCs w:val="24"/>
        </w:rPr>
        <w:t>较多的人员复核经验较少人员的工作。</w:t>
      </w:r>
    </w:p>
    <w:p w14:paraId="14A4FB7D" w14:textId="77777777" w:rsidR="008E58E2" w:rsidRDefault="00772BFC">
      <w:pPr>
        <w:ind w:firstLine="540"/>
        <w:rPr>
          <w:rFonts w:hAnsi="宋体" w:cs="宋体"/>
          <w:kern w:val="1"/>
          <w:szCs w:val="24"/>
        </w:rPr>
      </w:pPr>
      <w:r>
        <w:rPr>
          <w:rFonts w:hAnsi="宋体" w:cs="宋体" w:hint="eastAsia"/>
          <w:kern w:val="1"/>
          <w:szCs w:val="24"/>
        </w:rPr>
        <w:t>②统计、分析相关数据资料；</w:t>
      </w:r>
    </w:p>
    <w:p w14:paraId="1850B0C5" w14:textId="77777777" w:rsidR="008E58E2" w:rsidRDefault="00772BFC">
      <w:pPr>
        <w:ind w:firstLine="540"/>
        <w:rPr>
          <w:rFonts w:hAnsi="宋体" w:cs="宋体"/>
          <w:kern w:val="1"/>
          <w:szCs w:val="24"/>
        </w:rPr>
      </w:pPr>
      <w:r>
        <w:rPr>
          <w:rFonts w:hAnsi="宋体" w:cs="宋体" w:hint="eastAsia"/>
          <w:kern w:val="1"/>
          <w:szCs w:val="24"/>
        </w:rPr>
        <w:t>③在掌握充分数据资料基础上，按照设立的评价指标、标准、方法，按职责分工进行打分；</w:t>
      </w:r>
    </w:p>
    <w:p w14:paraId="6A9A3E8B" w14:textId="77777777" w:rsidR="008E58E2" w:rsidRDefault="00772BFC">
      <w:pPr>
        <w:ind w:firstLine="540"/>
        <w:rPr>
          <w:kern w:val="1"/>
          <w:szCs w:val="24"/>
        </w:rPr>
      </w:pPr>
      <w:r>
        <w:rPr>
          <w:rFonts w:hAnsi="宋体" w:cs="宋体" w:hint="eastAsia"/>
          <w:kern w:val="1"/>
          <w:szCs w:val="24"/>
        </w:rPr>
        <w:t>④得出初步评</w:t>
      </w:r>
      <w:r>
        <w:rPr>
          <w:rFonts w:hint="eastAsia"/>
          <w:kern w:val="1"/>
          <w:szCs w:val="24"/>
        </w:rPr>
        <w:t>价结论。</w:t>
      </w:r>
    </w:p>
    <w:p w14:paraId="3A5E578D" w14:textId="77777777" w:rsidR="008E58E2" w:rsidRDefault="00772BFC">
      <w:pPr>
        <w:pStyle w:val="3"/>
        <w:ind w:firstLine="562"/>
      </w:pPr>
      <w:bookmarkStart w:id="24" w:name="_Toc14180298"/>
      <w:r>
        <w:rPr>
          <w:rFonts w:hint="eastAsia"/>
        </w:rPr>
        <w:t>3.评价总结阶段</w:t>
      </w:r>
      <w:bookmarkEnd w:id="24"/>
    </w:p>
    <w:p w14:paraId="50519C21" w14:textId="77777777" w:rsidR="008E58E2" w:rsidRDefault="00772BFC">
      <w:pPr>
        <w:ind w:firstLine="540"/>
        <w:rPr>
          <w:rFonts w:hAnsi="宋体" w:cs="宋体"/>
          <w:kern w:val="1"/>
          <w:szCs w:val="24"/>
        </w:rPr>
      </w:pPr>
      <w:r>
        <w:rPr>
          <w:rFonts w:hAnsi="宋体" w:cs="宋体" w:hint="eastAsia"/>
          <w:kern w:val="1"/>
          <w:szCs w:val="24"/>
        </w:rPr>
        <w:t>（1）拟定绩效评价报告初稿。</w:t>
      </w:r>
    </w:p>
    <w:p w14:paraId="65DF8B02" w14:textId="77777777" w:rsidR="008E58E2" w:rsidRDefault="00772BFC">
      <w:pPr>
        <w:ind w:firstLine="540"/>
        <w:rPr>
          <w:rFonts w:hAnsi="宋体" w:cs="宋体"/>
          <w:kern w:val="1"/>
          <w:szCs w:val="24"/>
        </w:rPr>
      </w:pPr>
      <w:r>
        <w:rPr>
          <w:rFonts w:hAnsi="宋体" w:cs="宋体" w:hint="eastAsia"/>
          <w:kern w:val="1"/>
          <w:szCs w:val="24"/>
        </w:rPr>
        <w:t>（2）与项目单位进行沟通，根据其合理意见进行修改；</w:t>
      </w:r>
    </w:p>
    <w:p w14:paraId="4BE4B094" w14:textId="77777777" w:rsidR="008E58E2" w:rsidRDefault="00772BFC">
      <w:pPr>
        <w:ind w:firstLine="540"/>
        <w:rPr>
          <w:rFonts w:hAnsi="宋体" w:cs="宋体"/>
          <w:kern w:val="1"/>
          <w:szCs w:val="24"/>
        </w:rPr>
      </w:pPr>
      <w:r>
        <w:rPr>
          <w:rFonts w:hAnsi="宋体" w:cs="宋体" w:hint="eastAsia"/>
          <w:kern w:val="1"/>
          <w:szCs w:val="24"/>
        </w:rPr>
        <w:t>（3）形成新的绩效评价报告；</w:t>
      </w:r>
    </w:p>
    <w:p w14:paraId="1F570A57" w14:textId="77777777" w:rsidR="008E58E2" w:rsidRDefault="00772BFC">
      <w:pPr>
        <w:ind w:firstLine="540"/>
        <w:rPr>
          <w:rFonts w:hAnsi="宋体" w:cs="宋体"/>
          <w:kern w:val="1"/>
          <w:szCs w:val="24"/>
        </w:rPr>
      </w:pPr>
      <w:r>
        <w:rPr>
          <w:rFonts w:hAnsi="宋体" w:cs="宋体" w:hint="eastAsia"/>
          <w:kern w:val="1"/>
          <w:szCs w:val="24"/>
        </w:rPr>
        <w:t>（4）专家</w:t>
      </w:r>
      <w:proofErr w:type="gramStart"/>
      <w:r>
        <w:rPr>
          <w:rFonts w:hAnsi="宋体" w:cs="宋体" w:hint="eastAsia"/>
          <w:kern w:val="1"/>
          <w:szCs w:val="24"/>
        </w:rPr>
        <w:t>评价组</w:t>
      </w:r>
      <w:proofErr w:type="gramEnd"/>
      <w:r>
        <w:rPr>
          <w:rFonts w:hAnsi="宋体" w:cs="宋体" w:hint="eastAsia"/>
          <w:kern w:val="1"/>
          <w:szCs w:val="24"/>
        </w:rPr>
        <w:t>进行评议、根据专家组建议进行修改；</w:t>
      </w:r>
    </w:p>
    <w:p w14:paraId="693466A6" w14:textId="77777777" w:rsidR="008E58E2" w:rsidRDefault="00772BFC">
      <w:pPr>
        <w:ind w:firstLine="540"/>
        <w:rPr>
          <w:rFonts w:hAnsi="宋体" w:cs="宋体"/>
          <w:kern w:val="1"/>
          <w:szCs w:val="24"/>
        </w:rPr>
      </w:pPr>
      <w:r>
        <w:rPr>
          <w:rFonts w:hAnsi="宋体" w:cs="宋体" w:hint="eastAsia"/>
          <w:kern w:val="1"/>
          <w:szCs w:val="24"/>
        </w:rPr>
        <w:t>（5）专业审核委员会进行审议，根据审议意见进行修改；</w:t>
      </w:r>
    </w:p>
    <w:p w14:paraId="1A52CD3E" w14:textId="77777777" w:rsidR="008E58E2" w:rsidRDefault="00772BFC">
      <w:pPr>
        <w:ind w:firstLine="540"/>
        <w:rPr>
          <w:rFonts w:hAnsi="宋体" w:cs="宋体"/>
          <w:kern w:val="1"/>
          <w:szCs w:val="24"/>
        </w:rPr>
      </w:pPr>
      <w:r>
        <w:rPr>
          <w:rFonts w:hAnsi="宋体" w:cs="宋体" w:hint="eastAsia"/>
          <w:kern w:val="1"/>
          <w:szCs w:val="24"/>
        </w:rPr>
        <w:lastRenderedPageBreak/>
        <w:t>（6）报送</w:t>
      </w:r>
      <w:proofErr w:type="gramStart"/>
      <w:r>
        <w:rPr>
          <w:rFonts w:hAnsi="宋体" w:cs="宋体" w:hint="eastAsia"/>
          <w:kern w:val="1"/>
          <w:szCs w:val="24"/>
        </w:rPr>
        <w:t>委托方高新区</w:t>
      </w:r>
      <w:proofErr w:type="gramEnd"/>
      <w:r>
        <w:rPr>
          <w:rFonts w:hAnsi="宋体" w:cs="宋体" w:hint="eastAsia"/>
          <w:kern w:val="1"/>
          <w:szCs w:val="24"/>
        </w:rPr>
        <w:t>财政局，根据意见作最终修改；</w:t>
      </w:r>
    </w:p>
    <w:p w14:paraId="75987C51" w14:textId="77777777" w:rsidR="008E58E2" w:rsidRDefault="00772BFC">
      <w:pPr>
        <w:ind w:firstLine="540"/>
        <w:rPr>
          <w:kern w:val="1"/>
          <w:szCs w:val="24"/>
        </w:rPr>
      </w:pPr>
      <w:r>
        <w:rPr>
          <w:rFonts w:hAnsi="宋体" w:cs="宋体" w:hint="eastAsia"/>
          <w:kern w:val="1"/>
          <w:szCs w:val="24"/>
        </w:rPr>
        <w:t>（7）将正</w:t>
      </w:r>
      <w:r>
        <w:rPr>
          <w:rFonts w:hint="eastAsia"/>
          <w:kern w:val="1"/>
          <w:szCs w:val="24"/>
        </w:rPr>
        <w:t>式绩效评价报告报送高新区财政局。</w:t>
      </w:r>
    </w:p>
    <w:p w14:paraId="75E6237D" w14:textId="77777777" w:rsidR="008E58E2" w:rsidRDefault="00772BFC">
      <w:pPr>
        <w:pStyle w:val="1"/>
        <w:ind w:firstLine="600"/>
      </w:pPr>
      <w:bookmarkStart w:id="25" w:name="_Toc1533"/>
      <w:r>
        <w:rPr>
          <w:rFonts w:hint="eastAsia"/>
        </w:rPr>
        <w:t>四、综合评价情况及评价结论</w:t>
      </w:r>
      <w:bookmarkEnd w:id="25"/>
    </w:p>
    <w:p w14:paraId="18EC5A30" w14:textId="77777777" w:rsidR="008E58E2" w:rsidRDefault="00772BFC">
      <w:pPr>
        <w:pStyle w:val="2"/>
        <w:ind w:firstLine="562"/>
      </w:pPr>
      <w:bookmarkStart w:id="26" w:name="_Toc26218"/>
      <w:r>
        <w:t>1</w:t>
      </w:r>
      <w:r>
        <w:rPr>
          <w:rFonts w:hint="eastAsia"/>
        </w:rPr>
        <w:t>.</w:t>
      </w:r>
      <w:r>
        <w:t>评价打分方法</w:t>
      </w:r>
      <w:bookmarkEnd w:id="26"/>
    </w:p>
    <w:p w14:paraId="3E4CACF1" w14:textId="77777777" w:rsidR="008E58E2" w:rsidRDefault="00772BFC">
      <w:pPr>
        <w:ind w:firstLine="540"/>
        <w:rPr>
          <w:rFonts w:hAnsi="宋体"/>
        </w:rPr>
      </w:pPr>
      <w:r>
        <w:rPr>
          <w:rFonts w:hAnsi="宋体" w:hint="eastAsia"/>
        </w:rPr>
        <w:t>本次评价采用定性</w:t>
      </w:r>
      <w:r>
        <w:rPr>
          <w:rFonts w:hAnsi="宋体"/>
        </w:rPr>
        <w:t>分析</w:t>
      </w:r>
      <w:r>
        <w:rPr>
          <w:rFonts w:hAnsi="宋体" w:hint="eastAsia"/>
        </w:rPr>
        <w:t>与定量</w:t>
      </w:r>
      <w:r>
        <w:rPr>
          <w:rFonts w:hAnsi="宋体"/>
        </w:rPr>
        <w:t>考核</w:t>
      </w:r>
      <w:r>
        <w:rPr>
          <w:rFonts w:hAnsi="宋体" w:hint="eastAsia"/>
        </w:rPr>
        <w:t>相结合的方法，</w:t>
      </w:r>
      <w:r>
        <w:rPr>
          <w:rFonts w:hAnsi="宋体"/>
        </w:rPr>
        <w:t>对定性考核指标采用分析打分，对定量考核指标采用量化打分，总分百分制</w:t>
      </w:r>
      <w:r>
        <w:rPr>
          <w:rFonts w:hAnsi="宋体" w:hint="eastAsia"/>
        </w:rPr>
        <w:t>，以</w:t>
      </w:r>
      <w:r>
        <w:rPr>
          <w:rFonts w:hAnsi="宋体"/>
        </w:rPr>
        <w:t>最终得分确定评价</w:t>
      </w:r>
      <w:r>
        <w:rPr>
          <w:rFonts w:hAnsi="宋体" w:hint="eastAsia"/>
        </w:rPr>
        <w:t>等级</w:t>
      </w:r>
      <w:r>
        <w:rPr>
          <w:rFonts w:hAnsi="宋体"/>
        </w:rPr>
        <w:t>。</w:t>
      </w:r>
    </w:p>
    <w:p w14:paraId="1E937AA9" w14:textId="77777777" w:rsidR="008E58E2" w:rsidRDefault="00772BFC">
      <w:pPr>
        <w:ind w:firstLine="540"/>
        <w:rPr>
          <w:rFonts w:hAnsi="宋体"/>
        </w:rPr>
      </w:pPr>
      <w:r>
        <w:rPr>
          <w:rFonts w:hAnsi="宋体" w:hint="eastAsia"/>
        </w:rPr>
        <w:t>（1）项目绩效根据绩效指标评分标准直接打分，满分计100分，其中：项目决策2</w:t>
      </w:r>
      <w:r>
        <w:rPr>
          <w:rFonts w:hAnsi="宋体"/>
        </w:rPr>
        <w:t>0</w:t>
      </w:r>
      <w:r>
        <w:rPr>
          <w:rFonts w:hAnsi="宋体" w:hint="eastAsia"/>
        </w:rPr>
        <w:t>分，</w:t>
      </w:r>
      <w:r>
        <w:rPr>
          <w:rFonts w:hAnsi="宋体" w:hint="eastAsia"/>
          <w:szCs w:val="27"/>
        </w:rPr>
        <w:t>项目过程</w:t>
      </w:r>
      <w:r>
        <w:rPr>
          <w:rFonts w:hAnsi="宋体"/>
          <w:szCs w:val="27"/>
        </w:rPr>
        <w:t>20分</w:t>
      </w:r>
      <w:r>
        <w:rPr>
          <w:rFonts w:hAnsi="宋体" w:hint="eastAsia"/>
          <w:szCs w:val="27"/>
        </w:rPr>
        <w:t>，项目产出及</w:t>
      </w:r>
      <w:r>
        <w:rPr>
          <w:rFonts w:hAnsi="宋体"/>
          <w:szCs w:val="27"/>
        </w:rPr>
        <w:t>效益</w:t>
      </w:r>
      <w:r>
        <w:rPr>
          <w:rFonts w:hAnsi="宋体" w:hint="eastAsia"/>
          <w:szCs w:val="27"/>
        </w:rPr>
        <w:t>6</w:t>
      </w:r>
      <w:r>
        <w:rPr>
          <w:rFonts w:hAnsi="宋体"/>
          <w:szCs w:val="27"/>
        </w:rPr>
        <w:t>0分</w:t>
      </w:r>
      <w:r>
        <w:rPr>
          <w:rFonts w:hAnsi="宋体" w:hint="eastAsia"/>
        </w:rPr>
        <w:t>；</w:t>
      </w:r>
      <w:r>
        <w:rPr>
          <w:rFonts w:hAnsi="宋体"/>
        </w:rPr>
        <w:t xml:space="preserve"> </w:t>
      </w:r>
    </w:p>
    <w:p w14:paraId="1AD56875" w14:textId="77777777" w:rsidR="008E58E2" w:rsidRDefault="00772BFC">
      <w:pPr>
        <w:ind w:firstLine="540"/>
        <w:rPr>
          <w:rFonts w:hAnsi="宋体"/>
        </w:rPr>
      </w:pPr>
      <w:r>
        <w:rPr>
          <w:rFonts w:hAnsi="宋体" w:hint="eastAsia"/>
        </w:rPr>
        <w:t>（2）根据评分标准，达到要求的指标得标准分满分，不能达到标准的根据评分标准打分，最低得0分；</w:t>
      </w:r>
    </w:p>
    <w:p w14:paraId="081519CA" w14:textId="77777777" w:rsidR="008E58E2" w:rsidRDefault="00772BFC">
      <w:pPr>
        <w:ind w:firstLine="540"/>
        <w:rPr>
          <w:rFonts w:hAnsi="宋体"/>
        </w:rPr>
      </w:pPr>
      <w:r>
        <w:rPr>
          <w:rFonts w:hAnsi="宋体" w:hint="eastAsia"/>
        </w:rPr>
        <w:t>（3）绩效评价等级。评价结果分为优、良、中、差四个档次，根据评价分值，确定评价对象对应的等级。具体分值与等级关系见下表：</w:t>
      </w:r>
    </w:p>
    <w:p w14:paraId="6B945A21" w14:textId="594979A7" w:rsidR="008E58E2" w:rsidRDefault="00772BFC">
      <w:pPr>
        <w:ind w:firstLineChars="0" w:firstLine="0"/>
        <w:jc w:val="center"/>
        <w:rPr>
          <w:sz w:val="24"/>
          <w:szCs w:val="24"/>
        </w:rPr>
      </w:pPr>
      <w:r>
        <w:rPr>
          <w:rFonts w:hint="eastAsia"/>
          <w:sz w:val="24"/>
          <w:szCs w:val="24"/>
        </w:rPr>
        <w:t>评价分值与评价等级表</w:t>
      </w:r>
    </w:p>
    <w:tbl>
      <w:tblPr>
        <w:tblW w:w="8243" w:type="dxa"/>
        <w:jc w:val="center"/>
        <w:tblBorders>
          <w:top w:val="single" w:sz="4" w:space="0" w:color="auto"/>
          <w:left w:val="single" w:sz="4" w:space="0" w:color="auto"/>
          <w:bottom w:val="single" w:sz="4" w:space="0" w:color="auto"/>
          <w:right w:val="single" w:sz="4" w:space="0" w:color="auto"/>
          <w:insideH w:val="single" w:sz="4" w:space="0" w:color="000000"/>
          <w:insideV w:val="single" w:sz="4" w:space="0" w:color="000000"/>
        </w:tblBorders>
        <w:tblLayout w:type="fixed"/>
        <w:tblLook w:val="04A0" w:firstRow="1" w:lastRow="0" w:firstColumn="1" w:lastColumn="0" w:noHBand="0" w:noVBand="1"/>
      </w:tblPr>
      <w:tblGrid>
        <w:gridCol w:w="760"/>
        <w:gridCol w:w="1870"/>
        <w:gridCol w:w="1871"/>
        <w:gridCol w:w="1871"/>
        <w:gridCol w:w="1871"/>
      </w:tblGrid>
      <w:tr w:rsidR="005C740A" w14:paraId="26AAA4BA" w14:textId="77777777" w:rsidTr="005C740A">
        <w:trPr>
          <w:trHeight w:val="626"/>
          <w:jc w:val="center"/>
        </w:trPr>
        <w:tc>
          <w:tcPr>
            <w:tcW w:w="760" w:type="dxa"/>
            <w:vAlign w:val="center"/>
          </w:tcPr>
          <w:p w14:paraId="7091F094" w14:textId="77777777" w:rsidR="005C740A" w:rsidRDefault="005C740A" w:rsidP="005C740A">
            <w:pPr>
              <w:widowControl/>
              <w:snapToGrid/>
              <w:spacing w:line="240" w:lineRule="auto"/>
              <w:ind w:firstLineChars="0" w:firstLine="0"/>
              <w:jc w:val="center"/>
              <w:rPr>
                <w:rFonts w:hAnsi="宋体" w:cs="Times New Roman"/>
                <w:sz w:val="21"/>
                <w:szCs w:val="21"/>
              </w:rPr>
            </w:pPr>
            <w:r>
              <w:rPr>
                <w:rFonts w:hAnsi="宋体" w:cs="Times New Roman" w:hint="eastAsia"/>
                <w:sz w:val="21"/>
                <w:szCs w:val="21"/>
              </w:rPr>
              <w:t>等 级</w:t>
            </w:r>
          </w:p>
        </w:tc>
        <w:tc>
          <w:tcPr>
            <w:tcW w:w="1870" w:type="dxa"/>
            <w:vAlign w:val="center"/>
          </w:tcPr>
          <w:p w14:paraId="29C762EA" w14:textId="77777777" w:rsidR="005C740A" w:rsidRDefault="005C740A" w:rsidP="005C740A">
            <w:pPr>
              <w:widowControl/>
              <w:snapToGrid/>
              <w:spacing w:line="240" w:lineRule="auto"/>
              <w:ind w:firstLineChars="0" w:firstLine="0"/>
              <w:jc w:val="center"/>
              <w:rPr>
                <w:rFonts w:hAnsi="宋体" w:cs="Times New Roman"/>
                <w:sz w:val="21"/>
                <w:szCs w:val="21"/>
              </w:rPr>
            </w:pPr>
            <w:r>
              <w:rPr>
                <w:rFonts w:hAnsi="宋体" w:cs="Times New Roman" w:hint="eastAsia"/>
                <w:sz w:val="21"/>
                <w:szCs w:val="21"/>
              </w:rPr>
              <w:t>优</w:t>
            </w:r>
          </w:p>
        </w:tc>
        <w:tc>
          <w:tcPr>
            <w:tcW w:w="1871" w:type="dxa"/>
            <w:vAlign w:val="center"/>
          </w:tcPr>
          <w:p w14:paraId="612A7C4E" w14:textId="77777777" w:rsidR="005C740A" w:rsidRDefault="005C740A" w:rsidP="005C740A">
            <w:pPr>
              <w:widowControl/>
              <w:snapToGrid/>
              <w:spacing w:line="240" w:lineRule="auto"/>
              <w:ind w:firstLineChars="0" w:firstLine="0"/>
              <w:jc w:val="center"/>
              <w:rPr>
                <w:rFonts w:hAnsi="宋体" w:cs="Times New Roman"/>
                <w:sz w:val="21"/>
                <w:szCs w:val="21"/>
              </w:rPr>
            </w:pPr>
            <w:r>
              <w:rPr>
                <w:rFonts w:hAnsi="宋体" w:cs="Times New Roman" w:hint="eastAsia"/>
                <w:sz w:val="21"/>
                <w:szCs w:val="21"/>
              </w:rPr>
              <w:t>良</w:t>
            </w:r>
          </w:p>
        </w:tc>
        <w:tc>
          <w:tcPr>
            <w:tcW w:w="1871" w:type="dxa"/>
            <w:vAlign w:val="center"/>
          </w:tcPr>
          <w:p w14:paraId="35EF993F" w14:textId="77777777" w:rsidR="005C740A" w:rsidRDefault="005C740A" w:rsidP="005C740A">
            <w:pPr>
              <w:widowControl/>
              <w:snapToGrid/>
              <w:spacing w:line="240" w:lineRule="auto"/>
              <w:ind w:firstLineChars="0" w:firstLine="0"/>
              <w:jc w:val="center"/>
              <w:rPr>
                <w:rFonts w:hAnsi="宋体" w:cs="Times New Roman"/>
                <w:sz w:val="21"/>
                <w:szCs w:val="21"/>
              </w:rPr>
            </w:pPr>
            <w:r>
              <w:rPr>
                <w:rFonts w:hAnsi="宋体" w:cs="Times New Roman" w:hint="eastAsia"/>
                <w:sz w:val="21"/>
                <w:szCs w:val="21"/>
              </w:rPr>
              <w:t>中</w:t>
            </w:r>
          </w:p>
        </w:tc>
        <w:tc>
          <w:tcPr>
            <w:tcW w:w="1871" w:type="dxa"/>
            <w:vAlign w:val="center"/>
          </w:tcPr>
          <w:p w14:paraId="43D6E8B8" w14:textId="77777777" w:rsidR="005C740A" w:rsidRDefault="005C740A" w:rsidP="005C740A">
            <w:pPr>
              <w:widowControl/>
              <w:snapToGrid/>
              <w:spacing w:line="240" w:lineRule="auto"/>
              <w:ind w:firstLineChars="0" w:firstLine="0"/>
              <w:jc w:val="center"/>
              <w:rPr>
                <w:rFonts w:hAnsi="宋体" w:cs="Times New Roman"/>
                <w:sz w:val="21"/>
                <w:szCs w:val="21"/>
              </w:rPr>
            </w:pPr>
            <w:r>
              <w:rPr>
                <w:rFonts w:hAnsi="宋体" w:cs="Times New Roman" w:hint="eastAsia"/>
                <w:sz w:val="21"/>
                <w:szCs w:val="21"/>
              </w:rPr>
              <w:t>差</w:t>
            </w:r>
          </w:p>
        </w:tc>
      </w:tr>
      <w:tr w:rsidR="005C740A" w14:paraId="0FF3FC70" w14:textId="77777777" w:rsidTr="005C740A">
        <w:trPr>
          <w:trHeight w:val="626"/>
          <w:jc w:val="center"/>
        </w:trPr>
        <w:tc>
          <w:tcPr>
            <w:tcW w:w="760" w:type="dxa"/>
            <w:vAlign w:val="center"/>
          </w:tcPr>
          <w:p w14:paraId="7B7E2ACA" w14:textId="77777777" w:rsidR="005C740A" w:rsidRDefault="005C740A" w:rsidP="005C740A">
            <w:pPr>
              <w:widowControl/>
              <w:snapToGrid/>
              <w:spacing w:line="240" w:lineRule="auto"/>
              <w:ind w:firstLineChars="0" w:firstLine="0"/>
              <w:jc w:val="center"/>
              <w:rPr>
                <w:rFonts w:hAnsi="宋体" w:cs="Times New Roman"/>
                <w:sz w:val="21"/>
                <w:szCs w:val="21"/>
              </w:rPr>
            </w:pPr>
            <w:r>
              <w:rPr>
                <w:rFonts w:hAnsi="宋体" w:cs="Times New Roman" w:hint="eastAsia"/>
                <w:sz w:val="21"/>
                <w:szCs w:val="21"/>
              </w:rPr>
              <w:t>分 值</w:t>
            </w:r>
          </w:p>
        </w:tc>
        <w:tc>
          <w:tcPr>
            <w:tcW w:w="1870" w:type="dxa"/>
            <w:vAlign w:val="center"/>
          </w:tcPr>
          <w:p w14:paraId="323C8291" w14:textId="77777777" w:rsidR="005C740A" w:rsidRDefault="005C740A" w:rsidP="005C740A">
            <w:pPr>
              <w:widowControl/>
              <w:snapToGrid/>
              <w:spacing w:line="240" w:lineRule="auto"/>
              <w:ind w:firstLineChars="0" w:firstLine="0"/>
              <w:jc w:val="center"/>
              <w:rPr>
                <w:rFonts w:hAnsi="宋体" w:cs="Times New Roman"/>
                <w:sz w:val="21"/>
                <w:szCs w:val="21"/>
              </w:rPr>
            </w:pPr>
            <w:r>
              <w:rPr>
                <w:rFonts w:hAnsi="宋体" w:cs="Times New Roman" w:hint="eastAsia"/>
                <w:sz w:val="21"/>
                <w:szCs w:val="21"/>
              </w:rPr>
              <w:t>90（含）～100分</w:t>
            </w:r>
          </w:p>
        </w:tc>
        <w:tc>
          <w:tcPr>
            <w:tcW w:w="1871" w:type="dxa"/>
            <w:vAlign w:val="center"/>
          </w:tcPr>
          <w:p w14:paraId="5669BFD4" w14:textId="77777777" w:rsidR="005C740A" w:rsidRDefault="005C740A" w:rsidP="005C740A">
            <w:pPr>
              <w:widowControl/>
              <w:snapToGrid/>
              <w:spacing w:line="240" w:lineRule="auto"/>
              <w:ind w:firstLineChars="0" w:firstLine="0"/>
              <w:jc w:val="center"/>
              <w:rPr>
                <w:rFonts w:hAnsi="宋体" w:cs="Times New Roman"/>
                <w:sz w:val="21"/>
                <w:szCs w:val="21"/>
              </w:rPr>
            </w:pPr>
            <w:r>
              <w:rPr>
                <w:rFonts w:hAnsi="宋体" w:cs="Times New Roman"/>
                <w:sz w:val="21"/>
                <w:szCs w:val="21"/>
              </w:rPr>
              <w:t>8</w:t>
            </w:r>
            <w:r>
              <w:rPr>
                <w:rFonts w:hAnsi="宋体" w:cs="Times New Roman" w:hint="eastAsia"/>
                <w:sz w:val="21"/>
                <w:szCs w:val="21"/>
              </w:rPr>
              <w:t>0（含）～</w:t>
            </w:r>
            <w:r>
              <w:rPr>
                <w:rFonts w:hAnsi="宋体" w:cs="Times New Roman"/>
                <w:sz w:val="21"/>
                <w:szCs w:val="21"/>
              </w:rPr>
              <w:t>9</w:t>
            </w:r>
            <w:r>
              <w:rPr>
                <w:rFonts w:hAnsi="宋体" w:cs="Times New Roman" w:hint="eastAsia"/>
                <w:sz w:val="21"/>
                <w:szCs w:val="21"/>
              </w:rPr>
              <w:t>0分</w:t>
            </w:r>
          </w:p>
        </w:tc>
        <w:tc>
          <w:tcPr>
            <w:tcW w:w="1871" w:type="dxa"/>
            <w:vAlign w:val="center"/>
          </w:tcPr>
          <w:p w14:paraId="31F108F9" w14:textId="77777777" w:rsidR="005C740A" w:rsidRDefault="005C740A" w:rsidP="005C740A">
            <w:pPr>
              <w:widowControl/>
              <w:snapToGrid/>
              <w:spacing w:line="240" w:lineRule="auto"/>
              <w:ind w:firstLineChars="0" w:firstLine="0"/>
              <w:jc w:val="center"/>
              <w:rPr>
                <w:rFonts w:hAnsi="宋体" w:cs="Times New Roman"/>
                <w:sz w:val="21"/>
                <w:szCs w:val="21"/>
              </w:rPr>
            </w:pPr>
            <w:r>
              <w:rPr>
                <w:rFonts w:hAnsi="宋体" w:cs="Times New Roman"/>
                <w:sz w:val="21"/>
                <w:szCs w:val="21"/>
              </w:rPr>
              <w:t>6</w:t>
            </w:r>
            <w:r>
              <w:rPr>
                <w:rFonts w:hAnsi="宋体" w:cs="Times New Roman" w:hint="eastAsia"/>
                <w:sz w:val="21"/>
                <w:szCs w:val="21"/>
              </w:rPr>
              <w:t>0（含）～</w:t>
            </w:r>
            <w:r>
              <w:rPr>
                <w:rFonts w:hAnsi="宋体" w:cs="Times New Roman"/>
                <w:sz w:val="21"/>
                <w:szCs w:val="21"/>
              </w:rPr>
              <w:t>8</w:t>
            </w:r>
            <w:r>
              <w:rPr>
                <w:rFonts w:hAnsi="宋体" w:cs="Times New Roman" w:hint="eastAsia"/>
                <w:sz w:val="21"/>
                <w:szCs w:val="21"/>
              </w:rPr>
              <w:t>0分</w:t>
            </w:r>
          </w:p>
        </w:tc>
        <w:tc>
          <w:tcPr>
            <w:tcW w:w="1871" w:type="dxa"/>
            <w:vAlign w:val="center"/>
          </w:tcPr>
          <w:p w14:paraId="06F213F3" w14:textId="77777777" w:rsidR="005C740A" w:rsidRDefault="005C740A" w:rsidP="005C740A">
            <w:pPr>
              <w:widowControl/>
              <w:snapToGrid/>
              <w:spacing w:line="240" w:lineRule="auto"/>
              <w:ind w:firstLineChars="0" w:firstLine="0"/>
              <w:jc w:val="center"/>
              <w:rPr>
                <w:rFonts w:hAnsi="宋体" w:cs="Times New Roman"/>
                <w:sz w:val="21"/>
                <w:szCs w:val="21"/>
              </w:rPr>
            </w:pPr>
            <w:r>
              <w:rPr>
                <w:rFonts w:hAnsi="宋体" w:cs="Times New Roman" w:hint="eastAsia"/>
                <w:sz w:val="21"/>
                <w:szCs w:val="21"/>
              </w:rPr>
              <w:t>＜60分</w:t>
            </w:r>
          </w:p>
        </w:tc>
      </w:tr>
    </w:tbl>
    <w:p w14:paraId="63524A87" w14:textId="77777777" w:rsidR="005C740A" w:rsidRDefault="005C740A">
      <w:pPr>
        <w:ind w:firstLineChars="0" w:firstLine="0"/>
        <w:jc w:val="center"/>
        <w:rPr>
          <w:sz w:val="24"/>
          <w:szCs w:val="24"/>
        </w:rPr>
      </w:pPr>
    </w:p>
    <w:p w14:paraId="74B50D2B" w14:textId="77777777" w:rsidR="005D55D2" w:rsidRDefault="005D55D2">
      <w:pPr>
        <w:pStyle w:val="2"/>
        <w:ind w:firstLine="562"/>
        <w:sectPr w:rsidR="005D55D2" w:rsidSect="00AC30B7">
          <w:pgSz w:w="11906" w:h="16838"/>
          <w:pgMar w:top="1702" w:right="1803" w:bottom="1440" w:left="1803" w:header="1276" w:footer="850" w:gutter="0"/>
          <w:cols w:space="720"/>
        </w:sectPr>
      </w:pPr>
      <w:bookmarkStart w:id="27" w:name="_Toc2588"/>
    </w:p>
    <w:p w14:paraId="6335CEDB" w14:textId="223F6291" w:rsidR="008E58E2" w:rsidRDefault="00772BFC">
      <w:pPr>
        <w:pStyle w:val="2"/>
        <w:ind w:firstLine="562"/>
      </w:pPr>
      <w:r>
        <w:lastRenderedPageBreak/>
        <w:t>2.评价得分</w:t>
      </w:r>
      <w:r>
        <w:rPr>
          <w:rFonts w:hint="eastAsia"/>
        </w:rPr>
        <w:t>情况</w:t>
      </w:r>
      <w:bookmarkEnd w:id="27"/>
    </w:p>
    <w:p w14:paraId="224D9D6C" w14:textId="77777777" w:rsidR="008E58E2" w:rsidRDefault="00772BFC">
      <w:pPr>
        <w:ind w:firstLineChars="0" w:firstLine="0"/>
        <w:jc w:val="center"/>
        <w:rPr>
          <w:rFonts w:hAnsi="宋体" w:cs="宋体"/>
          <w:color w:val="auto"/>
          <w:sz w:val="24"/>
          <w:szCs w:val="24"/>
        </w:rPr>
      </w:pPr>
      <w:r>
        <w:rPr>
          <w:rFonts w:hAnsi="宋体" w:cs="宋体" w:hint="eastAsia"/>
          <w:color w:val="auto"/>
          <w:sz w:val="24"/>
          <w:szCs w:val="24"/>
        </w:rPr>
        <w:t>中小学消防改造、幼儿园生均公用经费及2017-2019年校车运行费项目得分表</w:t>
      </w: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91"/>
        <w:gridCol w:w="1418"/>
        <w:gridCol w:w="2126"/>
        <w:gridCol w:w="1843"/>
        <w:gridCol w:w="1701"/>
      </w:tblGrid>
      <w:tr w:rsidR="008E58E2" w14:paraId="50D644F9" w14:textId="77777777">
        <w:trPr>
          <w:trHeight w:val="454"/>
        </w:trPr>
        <w:tc>
          <w:tcPr>
            <w:tcW w:w="1291" w:type="dxa"/>
            <w:tcBorders>
              <w:top w:val="single" w:sz="4" w:space="0" w:color="auto"/>
              <w:left w:val="single" w:sz="4" w:space="0" w:color="auto"/>
              <w:bottom w:val="single" w:sz="4" w:space="0" w:color="auto"/>
              <w:right w:val="single" w:sz="4" w:space="0" w:color="auto"/>
            </w:tcBorders>
            <w:shd w:val="clear" w:color="000000" w:fill="8DB3E2"/>
            <w:vAlign w:val="center"/>
          </w:tcPr>
          <w:p w14:paraId="169D075D"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hint="eastAsia"/>
                <w:color w:val="auto"/>
                <w:sz w:val="21"/>
                <w:szCs w:val="20"/>
              </w:rPr>
              <w:t>一级指标</w:t>
            </w:r>
          </w:p>
        </w:tc>
        <w:tc>
          <w:tcPr>
            <w:tcW w:w="1418" w:type="dxa"/>
            <w:tcBorders>
              <w:top w:val="single" w:sz="4" w:space="0" w:color="auto"/>
              <w:left w:val="single" w:sz="4" w:space="0" w:color="auto"/>
              <w:bottom w:val="single" w:sz="4" w:space="0" w:color="auto"/>
              <w:right w:val="single" w:sz="4" w:space="0" w:color="auto"/>
            </w:tcBorders>
            <w:shd w:val="clear" w:color="000000" w:fill="8DB3E2"/>
            <w:vAlign w:val="center"/>
          </w:tcPr>
          <w:p w14:paraId="21302712"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hint="eastAsia"/>
                <w:color w:val="auto"/>
                <w:sz w:val="21"/>
                <w:szCs w:val="20"/>
              </w:rPr>
              <w:t>二级指标</w:t>
            </w:r>
          </w:p>
        </w:tc>
        <w:tc>
          <w:tcPr>
            <w:tcW w:w="2126" w:type="dxa"/>
            <w:tcBorders>
              <w:top w:val="single" w:sz="4" w:space="0" w:color="auto"/>
              <w:left w:val="single" w:sz="4" w:space="0" w:color="auto"/>
              <w:bottom w:val="single" w:sz="4" w:space="0" w:color="auto"/>
              <w:right w:val="single" w:sz="4" w:space="0" w:color="auto"/>
            </w:tcBorders>
            <w:shd w:val="clear" w:color="000000" w:fill="8DB3E2"/>
            <w:vAlign w:val="center"/>
          </w:tcPr>
          <w:p w14:paraId="4F579E6D"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hint="eastAsia"/>
                <w:color w:val="auto"/>
                <w:sz w:val="21"/>
                <w:szCs w:val="20"/>
              </w:rPr>
              <w:t>三级指标</w:t>
            </w:r>
          </w:p>
        </w:tc>
        <w:tc>
          <w:tcPr>
            <w:tcW w:w="1843" w:type="dxa"/>
            <w:tcBorders>
              <w:top w:val="single" w:sz="4" w:space="0" w:color="auto"/>
              <w:left w:val="single" w:sz="4" w:space="0" w:color="auto"/>
              <w:bottom w:val="single" w:sz="4" w:space="0" w:color="auto"/>
              <w:right w:val="single" w:sz="4" w:space="0" w:color="auto"/>
            </w:tcBorders>
            <w:shd w:val="clear" w:color="000000" w:fill="8DB3E2"/>
            <w:vAlign w:val="center"/>
          </w:tcPr>
          <w:p w14:paraId="6F65A0F9"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hint="eastAsia"/>
                <w:color w:val="auto"/>
                <w:sz w:val="21"/>
                <w:szCs w:val="20"/>
              </w:rPr>
              <w:t>设计得分</w:t>
            </w:r>
          </w:p>
        </w:tc>
        <w:tc>
          <w:tcPr>
            <w:tcW w:w="1701" w:type="dxa"/>
            <w:tcBorders>
              <w:top w:val="single" w:sz="4" w:space="0" w:color="auto"/>
              <w:left w:val="single" w:sz="4" w:space="0" w:color="auto"/>
              <w:bottom w:val="single" w:sz="4" w:space="0" w:color="auto"/>
              <w:right w:val="single" w:sz="4" w:space="0" w:color="auto"/>
            </w:tcBorders>
            <w:shd w:val="clear" w:color="000000" w:fill="8DB3E2"/>
            <w:vAlign w:val="center"/>
          </w:tcPr>
          <w:p w14:paraId="28DD6772"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hint="eastAsia"/>
                <w:color w:val="auto"/>
                <w:sz w:val="21"/>
                <w:szCs w:val="20"/>
              </w:rPr>
              <w:t>实际得分</w:t>
            </w:r>
          </w:p>
        </w:tc>
      </w:tr>
      <w:tr w:rsidR="008E58E2" w14:paraId="03D537F9" w14:textId="77777777">
        <w:trPr>
          <w:trHeight w:val="454"/>
        </w:trPr>
        <w:tc>
          <w:tcPr>
            <w:tcW w:w="4835" w:type="dxa"/>
            <w:gridSpan w:val="3"/>
            <w:tcBorders>
              <w:top w:val="single" w:sz="4" w:space="0" w:color="auto"/>
              <w:left w:val="single" w:sz="4" w:space="0" w:color="auto"/>
              <w:bottom w:val="single" w:sz="4" w:space="0" w:color="auto"/>
              <w:right w:val="single" w:sz="4" w:space="0" w:color="auto"/>
            </w:tcBorders>
            <w:vAlign w:val="center"/>
          </w:tcPr>
          <w:p w14:paraId="4720E603"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hint="eastAsia"/>
                <w:color w:val="auto"/>
                <w:sz w:val="21"/>
                <w:szCs w:val="20"/>
              </w:rPr>
              <w:t>合计</w:t>
            </w:r>
          </w:p>
        </w:tc>
        <w:tc>
          <w:tcPr>
            <w:tcW w:w="1843" w:type="dxa"/>
            <w:tcBorders>
              <w:top w:val="single" w:sz="4" w:space="0" w:color="auto"/>
              <w:left w:val="single" w:sz="4" w:space="0" w:color="auto"/>
              <w:bottom w:val="single" w:sz="4" w:space="0" w:color="auto"/>
              <w:right w:val="single" w:sz="4" w:space="0" w:color="auto"/>
            </w:tcBorders>
            <w:vAlign w:val="center"/>
          </w:tcPr>
          <w:p w14:paraId="5424EDF6"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hint="eastAsia"/>
                <w:color w:val="auto"/>
                <w:sz w:val="21"/>
                <w:szCs w:val="20"/>
              </w:rPr>
              <w:t>100</w:t>
            </w:r>
          </w:p>
        </w:tc>
        <w:tc>
          <w:tcPr>
            <w:tcW w:w="1701" w:type="dxa"/>
            <w:tcBorders>
              <w:top w:val="single" w:sz="4" w:space="0" w:color="auto"/>
              <w:left w:val="single" w:sz="4" w:space="0" w:color="auto"/>
              <w:bottom w:val="single" w:sz="4" w:space="0" w:color="auto"/>
              <w:right w:val="single" w:sz="4" w:space="0" w:color="auto"/>
            </w:tcBorders>
            <w:vAlign w:val="center"/>
          </w:tcPr>
          <w:p w14:paraId="27C9CD49"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color w:val="auto"/>
                <w:sz w:val="21"/>
                <w:szCs w:val="20"/>
              </w:rPr>
              <w:t>88</w:t>
            </w:r>
          </w:p>
        </w:tc>
      </w:tr>
      <w:tr w:rsidR="008E58E2" w14:paraId="0CDB44C2" w14:textId="77777777">
        <w:trPr>
          <w:trHeight w:val="454"/>
        </w:trPr>
        <w:tc>
          <w:tcPr>
            <w:tcW w:w="1291" w:type="dxa"/>
            <w:vMerge w:val="restart"/>
            <w:tcBorders>
              <w:top w:val="single" w:sz="4" w:space="0" w:color="auto"/>
            </w:tcBorders>
            <w:vAlign w:val="center"/>
          </w:tcPr>
          <w:p w14:paraId="25D105C1"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hint="eastAsia"/>
                <w:color w:val="auto"/>
                <w:sz w:val="21"/>
                <w:szCs w:val="20"/>
              </w:rPr>
              <w:t>项目决策</w:t>
            </w:r>
          </w:p>
        </w:tc>
        <w:tc>
          <w:tcPr>
            <w:tcW w:w="1418" w:type="dxa"/>
            <w:vMerge w:val="restart"/>
            <w:tcBorders>
              <w:top w:val="single" w:sz="4" w:space="0" w:color="auto"/>
            </w:tcBorders>
            <w:vAlign w:val="center"/>
          </w:tcPr>
          <w:p w14:paraId="5ED67CBA"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hint="eastAsia"/>
                <w:color w:val="auto"/>
                <w:sz w:val="21"/>
                <w:szCs w:val="20"/>
              </w:rPr>
              <w:t>项目立项</w:t>
            </w:r>
          </w:p>
        </w:tc>
        <w:tc>
          <w:tcPr>
            <w:tcW w:w="2126" w:type="dxa"/>
            <w:tcBorders>
              <w:top w:val="single" w:sz="4" w:space="0" w:color="auto"/>
            </w:tcBorders>
            <w:vAlign w:val="center"/>
          </w:tcPr>
          <w:p w14:paraId="657BCD93"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hint="eastAsia"/>
                <w:color w:val="auto"/>
                <w:sz w:val="21"/>
                <w:szCs w:val="20"/>
              </w:rPr>
              <w:t>立项依据充分性</w:t>
            </w:r>
          </w:p>
        </w:tc>
        <w:tc>
          <w:tcPr>
            <w:tcW w:w="1843" w:type="dxa"/>
            <w:tcBorders>
              <w:top w:val="single" w:sz="4" w:space="0" w:color="auto"/>
            </w:tcBorders>
            <w:noWrap/>
            <w:vAlign w:val="center"/>
          </w:tcPr>
          <w:p w14:paraId="598A70B8"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color w:val="auto"/>
                <w:sz w:val="21"/>
                <w:szCs w:val="20"/>
              </w:rPr>
              <w:t>3</w:t>
            </w:r>
          </w:p>
        </w:tc>
        <w:tc>
          <w:tcPr>
            <w:tcW w:w="1701" w:type="dxa"/>
            <w:tcBorders>
              <w:top w:val="single" w:sz="4" w:space="0" w:color="auto"/>
            </w:tcBorders>
            <w:noWrap/>
            <w:vAlign w:val="center"/>
          </w:tcPr>
          <w:p w14:paraId="2F132766"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color w:val="auto"/>
                <w:sz w:val="21"/>
                <w:szCs w:val="20"/>
              </w:rPr>
              <w:t>3</w:t>
            </w:r>
          </w:p>
        </w:tc>
      </w:tr>
      <w:tr w:rsidR="008E58E2" w14:paraId="689D20C3" w14:textId="77777777">
        <w:trPr>
          <w:trHeight w:val="454"/>
        </w:trPr>
        <w:tc>
          <w:tcPr>
            <w:tcW w:w="1291" w:type="dxa"/>
            <w:vMerge/>
            <w:vAlign w:val="center"/>
          </w:tcPr>
          <w:p w14:paraId="52E96BA4" w14:textId="77777777" w:rsidR="008E58E2" w:rsidRDefault="008E58E2">
            <w:pPr>
              <w:widowControl/>
              <w:spacing w:line="240" w:lineRule="auto"/>
              <w:ind w:firstLineChars="0" w:firstLine="0"/>
              <w:jc w:val="left"/>
              <w:rPr>
                <w:rFonts w:hAnsi="宋体" w:cs="宋体"/>
                <w:color w:val="auto"/>
                <w:sz w:val="21"/>
                <w:szCs w:val="20"/>
              </w:rPr>
            </w:pPr>
          </w:p>
        </w:tc>
        <w:tc>
          <w:tcPr>
            <w:tcW w:w="1418" w:type="dxa"/>
            <w:vMerge/>
            <w:vAlign w:val="center"/>
          </w:tcPr>
          <w:p w14:paraId="5FD35003" w14:textId="77777777" w:rsidR="008E58E2" w:rsidRDefault="008E58E2">
            <w:pPr>
              <w:widowControl/>
              <w:spacing w:line="240" w:lineRule="auto"/>
              <w:ind w:firstLineChars="0" w:firstLine="0"/>
              <w:jc w:val="left"/>
              <w:rPr>
                <w:rFonts w:hAnsi="宋体" w:cs="宋体"/>
                <w:color w:val="auto"/>
                <w:sz w:val="21"/>
                <w:szCs w:val="20"/>
              </w:rPr>
            </w:pPr>
          </w:p>
        </w:tc>
        <w:tc>
          <w:tcPr>
            <w:tcW w:w="2126" w:type="dxa"/>
            <w:vAlign w:val="center"/>
          </w:tcPr>
          <w:p w14:paraId="48B17056"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hint="eastAsia"/>
                <w:color w:val="auto"/>
                <w:sz w:val="21"/>
                <w:szCs w:val="20"/>
              </w:rPr>
              <w:t>立项程序规范性</w:t>
            </w:r>
          </w:p>
        </w:tc>
        <w:tc>
          <w:tcPr>
            <w:tcW w:w="1843" w:type="dxa"/>
            <w:noWrap/>
            <w:vAlign w:val="center"/>
          </w:tcPr>
          <w:p w14:paraId="5A2F66A3"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color w:val="auto"/>
                <w:sz w:val="21"/>
                <w:szCs w:val="20"/>
              </w:rPr>
              <w:t>3</w:t>
            </w:r>
          </w:p>
        </w:tc>
        <w:tc>
          <w:tcPr>
            <w:tcW w:w="1701" w:type="dxa"/>
            <w:noWrap/>
            <w:vAlign w:val="center"/>
          </w:tcPr>
          <w:p w14:paraId="67815B6C"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color w:val="auto"/>
                <w:sz w:val="21"/>
                <w:szCs w:val="20"/>
              </w:rPr>
              <w:t>3</w:t>
            </w:r>
          </w:p>
        </w:tc>
      </w:tr>
      <w:tr w:rsidR="008E58E2" w14:paraId="754C3438" w14:textId="77777777">
        <w:trPr>
          <w:trHeight w:val="454"/>
        </w:trPr>
        <w:tc>
          <w:tcPr>
            <w:tcW w:w="1291" w:type="dxa"/>
            <w:vMerge/>
            <w:vAlign w:val="center"/>
          </w:tcPr>
          <w:p w14:paraId="6EFED392" w14:textId="77777777" w:rsidR="008E58E2" w:rsidRDefault="008E58E2">
            <w:pPr>
              <w:widowControl/>
              <w:spacing w:line="240" w:lineRule="auto"/>
              <w:ind w:firstLineChars="0" w:firstLine="0"/>
              <w:jc w:val="left"/>
              <w:rPr>
                <w:rFonts w:hAnsi="宋体" w:cs="宋体"/>
                <w:color w:val="auto"/>
                <w:sz w:val="21"/>
                <w:szCs w:val="20"/>
              </w:rPr>
            </w:pPr>
          </w:p>
        </w:tc>
        <w:tc>
          <w:tcPr>
            <w:tcW w:w="1418" w:type="dxa"/>
            <w:vMerge w:val="restart"/>
            <w:vAlign w:val="center"/>
          </w:tcPr>
          <w:p w14:paraId="4107761C"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hint="eastAsia"/>
                <w:color w:val="auto"/>
                <w:sz w:val="21"/>
                <w:szCs w:val="20"/>
              </w:rPr>
              <w:t>绩效目标</w:t>
            </w:r>
          </w:p>
        </w:tc>
        <w:tc>
          <w:tcPr>
            <w:tcW w:w="2126" w:type="dxa"/>
            <w:vAlign w:val="center"/>
          </w:tcPr>
          <w:p w14:paraId="564AE391"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hint="eastAsia"/>
                <w:color w:val="auto"/>
                <w:sz w:val="21"/>
                <w:szCs w:val="20"/>
              </w:rPr>
              <w:t>绩效目标合理性</w:t>
            </w:r>
          </w:p>
        </w:tc>
        <w:tc>
          <w:tcPr>
            <w:tcW w:w="1843" w:type="dxa"/>
            <w:noWrap/>
            <w:vAlign w:val="center"/>
          </w:tcPr>
          <w:p w14:paraId="120911E3"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color w:val="auto"/>
                <w:sz w:val="21"/>
                <w:szCs w:val="20"/>
              </w:rPr>
              <w:t>3</w:t>
            </w:r>
          </w:p>
        </w:tc>
        <w:tc>
          <w:tcPr>
            <w:tcW w:w="1701" w:type="dxa"/>
            <w:noWrap/>
            <w:vAlign w:val="center"/>
          </w:tcPr>
          <w:p w14:paraId="00FFEDA3"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color w:val="auto"/>
                <w:sz w:val="21"/>
                <w:szCs w:val="20"/>
              </w:rPr>
              <w:t>3</w:t>
            </w:r>
          </w:p>
        </w:tc>
      </w:tr>
      <w:tr w:rsidR="008E58E2" w14:paraId="7E911572" w14:textId="77777777">
        <w:trPr>
          <w:trHeight w:val="454"/>
        </w:trPr>
        <w:tc>
          <w:tcPr>
            <w:tcW w:w="1291" w:type="dxa"/>
            <w:vMerge/>
            <w:vAlign w:val="center"/>
          </w:tcPr>
          <w:p w14:paraId="077C366B" w14:textId="77777777" w:rsidR="008E58E2" w:rsidRDefault="008E58E2">
            <w:pPr>
              <w:widowControl/>
              <w:spacing w:line="240" w:lineRule="auto"/>
              <w:ind w:firstLineChars="0" w:firstLine="0"/>
              <w:jc w:val="left"/>
              <w:rPr>
                <w:rFonts w:hAnsi="宋体" w:cs="宋体"/>
                <w:color w:val="auto"/>
                <w:sz w:val="21"/>
                <w:szCs w:val="20"/>
              </w:rPr>
            </w:pPr>
          </w:p>
        </w:tc>
        <w:tc>
          <w:tcPr>
            <w:tcW w:w="1418" w:type="dxa"/>
            <w:vMerge/>
            <w:vAlign w:val="center"/>
          </w:tcPr>
          <w:p w14:paraId="43405F71" w14:textId="77777777" w:rsidR="008E58E2" w:rsidRDefault="008E58E2">
            <w:pPr>
              <w:widowControl/>
              <w:spacing w:line="240" w:lineRule="auto"/>
              <w:ind w:firstLineChars="0" w:firstLine="0"/>
              <w:jc w:val="center"/>
              <w:rPr>
                <w:rFonts w:hAnsi="宋体" w:cs="宋体"/>
                <w:color w:val="auto"/>
                <w:sz w:val="21"/>
                <w:szCs w:val="20"/>
              </w:rPr>
            </w:pPr>
          </w:p>
        </w:tc>
        <w:tc>
          <w:tcPr>
            <w:tcW w:w="2126" w:type="dxa"/>
            <w:vAlign w:val="center"/>
          </w:tcPr>
          <w:p w14:paraId="179A5136"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hint="eastAsia"/>
                <w:color w:val="auto"/>
                <w:sz w:val="21"/>
                <w:szCs w:val="20"/>
              </w:rPr>
              <w:t>绩效指标明确性</w:t>
            </w:r>
          </w:p>
        </w:tc>
        <w:tc>
          <w:tcPr>
            <w:tcW w:w="1843" w:type="dxa"/>
            <w:noWrap/>
            <w:vAlign w:val="center"/>
          </w:tcPr>
          <w:p w14:paraId="162A5252"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color w:val="auto"/>
                <w:sz w:val="21"/>
                <w:szCs w:val="20"/>
              </w:rPr>
              <w:t>3</w:t>
            </w:r>
          </w:p>
        </w:tc>
        <w:tc>
          <w:tcPr>
            <w:tcW w:w="1701" w:type="dxa"/>
            <w:noWrap/>
            <w:vAlign w:val="center"/>
          </w:tcPr>
          <w:p w14:paraId="70A4D520"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color w:val="auto"/>
                <w:sz w:val="21"/>
                <w:szCs w:val="20"/>
              </w:rPr>
              <w:t>3</w:t>
            </w:r>
          </w:p>
        </w:tc>
      </w:tr>
      <w:tr w:rsidR="008E58E2" w14:paraId="044D930A" w14:textId="77777777">
        <w:trPr>
          <w:trHeight w:val="454"/>
        </w:trPr>
        <w:tc>
          <w:tcPr>
            <w:tcW w:w="1291" w:type="dxa"/>
            <w:vMerge/>
            <w:vAlign w:val="center"/>
          </w:tcPr>
          <w:p w14:paraId="1EF0BB1D" w14:textId="77777777" w:rsidR="008E58E2" w:rsidRDefault="008E58E2">
            <w:pPr>
              <w:widowControl/>
              <w:spacing w:line="240" w:lineRule="auto"/>
              <w:ind w:firstLineChars="0" w:firstLine="0"/>
              <w:jc w:val="left"/>
              <w:rPr>
                <w:rFonts w:hAnsi="宋体" w:cs="宋体"/>
                <w:color w:val="auto"/>
                <w:sz w:val="21"/>
                <w:szCs w:val="20"/>
              </w:rPr>
            </w:pPr>
          </w:p>
        </w:tc>
        <w:tc>
          <w:tcPr>
            <w:tcW w:w="1418" w:type="dxa"/>
            <w:vAlign w:val="center"/>
          </w:tcPr>
          <w:p w14:paraId="14471563"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hint="eastAsia"/>
                <w:color w:val="auto"/>
                <w:sz w:val="21"/>
                <w:szCs w:val="20"/>
              </w:rPr>
              <w:t>资金投入</w:t>
            </w:r>
          </w:p>
        </w:tc>
        <w:tc>
          <w:tcPr>
            <w:tcW w:w="2126" w:type="dxa"/>
            <w:vAlign w:val="center"/>
          </w:tcPr>
          <w:p w14:paraId="060C463E" w14:textId="77777777" w:rsidR="008E58E2" w:rsidRDefault="00772BFC">
            <w:pPr>
              <w:spacing w:line="240" w:lineRule="auto"/>
              <w:ind w:firstLineChars="0" w:firstLine="0"/>
              <w:jc w:val="center"/>
              <w:rPr>
                <w:rFonts w:hAnsi="宋体" w:cs="宋体"/>
                <w:color w:val="auto"/>
                <w:sz w:val="21"/>
                <w:szCs w:val="20"/>
              </w:rPr>
            </w:pPr>
            <w:r>
              <w:rPr>
                <w:rFonts w:hAnsi="宋体" w:cs="Times New Roman" w:hint="eastAsia"/>
                <w:color w:val="auto"/>
                <w:sz w:val="21"/>
                <w:szCs w:val="21"/>
              </w:rPr>
              <w:t>预算编制科学性</w:t>
            </w:r>
          </w:p>
        </w:tc>
        <w:tc>
          <w:tcPr>
            <w:tcW w:w="1843" w:type="dxa"/>
            <w:noWrap/>
            <w:vAlign w:val="center"/>
          </w:tcPr>
          <w:p w14:paraId="1FEF72BF"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color w:val="auto"/>
                <w:sz w:val="21"/>
                <w:szCs w:val="20"/>
              </w:rPr>
              <w:t>8</w:t>
            </w:r>
          </w:p>
        </w:tc>
        <w:tc>
          <w:tcPr>
            <w:tcW w:w="1701" w:type="dxa"/>
            <w:noWrap/>
            <w:vAlign w:val="center"/>
          </w:tcPr>
          <w:p w14:paraId="4011C208"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color w:val="auto"/>
                <w:sz w:val="21"/>
                <w:szCs w:val="20"/>
              </w:rPr>
              <w:t>7</w:t>
            </w:r>
          </w:p>
        </w:tc>
      </w:tr>
      <w:tr w:rsidR="008E58E2" w14:paraId="23667A3B" w14:textId="77777777">
        <w:trPr>
          <w:trHeight w:val="454"/>
        </w:trPr>
        <w:tc>
          <w:tcPr>
            <w:tcW w:w="1291" w:type="dxa"/>
            <w:vMerge w:val="restart"/>
            <w:vAlign w:val="center"/>
          </w:tcPr>
          <w:p w14:paraId="2F0E89DA"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hint="eastAsia"/>
                <w:color w:val="auto"/>
                <w:sz w:val="21"/>
                <w:szCs w:val="20"/>
              </w:rPr>
              <w:t>项目过程</w:t>
            </w:r>
          </w:p>
        </w:tc>
        <w:tc>
          <w:tcPr>
            <w:tcW w:w="1418" w:type="dxa"/>
            <w:vMerge w:val="restart"/>
            <w:vAlign w:val="center"/>
          </w:tcPr>
          <w:p w14:paraId="5BCB31E8"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hint="eastAsia"/>
                <w:color w:val="auto"/>
                <w:sz w:val="21"/>
                <w:szCs w:val="20"/>
              </w:rPr>
              <w:t>资金管理</w:t>
            </w:r>
          </w:p>
        </w:tc>
        <w:tc>
          <w:tcPr>
            <w:tcW w:w="2126" w:type="dxa"/>
            <w:vAlign w:val="center"/>
          </w:tcPr>
          <w:p w14:paraId="1D467696"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hint="eastAsia"/>
                <w:color w:val="auto"/>
                <w:sz w:val="21"/>
                <w:szCs w:val="20"/>
              </w:rPr>
              <w:t>预算执行率</w:t>
            </w:r>
          </w:p>
        </w:tc>
        <w:tc>
          <w:tcPr>
            <w:tcW w:w="1843" w:type="dxa"/>
            <w:noWrap/>
            <w:vAlign w:val="center"/>
          </w:tcPr>
          <w:p w14:paraId="33402226"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color w:val="auto"/>
                <w:sz w:val="21"/>
                <w:szCs w:val="20"/>
              </w:rPr>
              <w:t>4</w:t>
            </w:r>
          </w:p>
        </w:tc>
        <w:tc>
          <w:tcPr>
            <w:tcW w:w="1701" w:type="dxa"/>
            <w:noWrap/>
            <w:vAlign w:val="center"/>
          </w:tcPr>
          <w:p w14:paraId="3E6AD47C"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color w:val="auto"/>
                <w:sz w:val="21"/>
                <w:szCs w:val="20"/>
              </w:rPr>
              <w:t>4</w:t>
            </w:r>
          </w:p>
        </w:tc>
      </w:tr>
      <w:tr w:rsidR="008E58E2" w14:paraId="100D3F8E" w14:textId="77777777">
        <w:trPr>
          <w:trHeight w:val="454"/>
        </w:trPr>
        <w:tc>
          <w:tcPr>
            <w:tcW w:w="1291" w:type="dxa"/>
            <w:vMerge/>
            <w:vAlign w:val="center"/>
          </w:tcPr>
          <w:p w14:paraId="2D6BF377" w14:textId="77777777" w:rsidR="008E58E2" w:rsidRDefault="008E58E2">
            <w:pPr>
              <w:widowControl/>
              <w:spacing w:line="240" w:lineRule="auto"/>
              <w:ind w:firstLineChars="0" w:firstLine="0"/>
              <w:jc w:val="left"/>
              <w:rPr>
                <w:rFonts w:hAnsi="宋体" w:cs="宋体"/>
                <w:color w:val="auto"/>
                <w:sz w:val="21"/>
                <w:szCs w:val="20"/>
              </w:rPr>
            </w:pPr>
          </w:p>
        </w:tc>
        <w:tc>
          <w:tcPr>
            <w:tcW w:w="1418" w:type="dxa"/>
            <w:vMerge/>
            <w:vAlign w:val="center"/>
          </w:tcPr>
          <w:p w14:paraId="2167E164" w14:textId="77777777" w:rsidR="008E58E2" w:rsidRDefault="008E58E2">
            <w:pPr>
              <w:widowControl/>
              <w:spacing w:line="240" w:lineRule="auto"/>
              <w:ind w:firstLineChars="0" w:firstLine="0"/>
              <w:jc w:val="left"/>
              <w:rPr>
                <w:rFonts w:hAnsi="宋体" w:cs="宋体"/>
                <w:color w:val="auto"/>
                <w:sz w:val="21"/>
                <w:szCs w:val="20"/>
              </w:rPr>
            </w:pPr>
          </w:p>
        </w:tc>
        <w:tc>
          <w:tcPr>
            <w:tcW w:w="2126" w:type="dxa"/>
            <w:vAlign w:val="center"/>
          </w:tcPr>
          <w:p w14:paraId="293E85E8"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hint="eastAsia"/>
                <w:color w:val="auto"/>
                <w:sz w:val="21"/>
                <w:szCs w:val="20"/>
              </w:rPr>
              <w:t>资金使用合</w:t>
            </w:r>
            <w:proofErr w:type="gramStart"/>
            <w:r>
              <w:rPr>
                <w:rFonts w:hAnsi="宋体" w:cs="宋体" w:hint="eastAsia"/>
                <w:color w:val="auto"/>
                <w:sz w:val="21"/>
                <w:szCs w:val="20"/>
              </w:rPr>
              <w:t>规</w:t>
            </w:r>
            <w:proofErr w:type="gramEnd"/>
            <w:r>
              <w:rPr>
                <w:rFonts w:hAnsi="宋体" w:cs="宋体" w:hint="eastAsia"/>
                <w:color w:val="auto"/>
                <w:sz w:val="21"/>
                <w:szCs w:val="20"/>
              </w:rPr>
              <w:t>性</w:t>
            </w:r>
          </w:p>
        </w:tc>
        <w:tc>
          <w:tcPr>
            <w:tcW w:w="1843" w:type="dxa"/>
            <w:noWrap/>
            <w:vAlign w:val="center"/>
          </w:tcPr>
          <w:p w14:paraId="5EA3E12F"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color w:val="auto"/>
                <w:sz w:val="21"/>
                <w:szCs w:val="20"/>
              </w:rPr>
              <w:t>4</w:t>
            </w:r>
          </w:p>
        </w:tc>
        <w:tc>
          <w:tcPr>
            <w:tcW w:w="1701" w:type="dxa"/>
            <w:noWrap/>
            <w:vAlign w:val="center"/>
          </w:tcPr>
          <w:p w14:paraId="5002A1FD"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color w:val="auto"/>
                <w:sz w:val="21"/>
                <w:szCs w:val="20"/>
              </w:rPr>
              <w:t>2</w:t>
            </w:r>
          </w:p>
        </w:tc>
      </w:tr>
      <w:tr w:rsidR="008E58E2" w14:paraId="742E5885" w14:textId="77777777">
        <w:trPr>
          <w:trHeight w:val="454"/>
        </w:trPr>
        <w:tc>
          <w:tcPr>
            <w:tcW w:w="1291" w:type="dxa"/>
            <w:vMerge/>
            <w:vAlign w:val="center"/>
          </w:tcPr>
          <w:p w14:paraId="674BD97D" w14:textId="77777777" w:rsidR="008E58E2" w:rsidRDefault="008E58E2">
            <w:pPr>
              <w:widowControl/>
              <w:spacing w:line="240" w:lineRule="auto"/>
              <w:ind w:firstLineChars="0" w:firstLine="0"/>
              <w:jc w:val="left"/>
              <w:rPr>
                <w:rFonts w:hAnsi="宋体" w:cs="宋体"/>
                <w:color w:val="auto"/>
                <w:sz w:val="21"/>
                <w:szCs w:val="20"/>
              </w:rPr>
            </w:pPr>
          </w:p>
        </w:tc>
        <w:tc>
          <w:tcPr>
            <w:tcW w:w="1418" w:type="dxa"/>
            <w:vMerge w:val="restart"/>
            <w:vAlign w:val="center"/>
          </w:tcPr>
          <w:p w14:paraId="63E3855F"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hint="eastAsia"/>
                <w:color w:val="auto"/>
                <w:sz w:val="21"/>
                <w:szCs w:val="20"/>
              </w:rPr>
              <w:t>组织实施</w:t>
            </w:r>
          </w:p>
        </w:tc>
        <w:tc>
          <w:tcPr>
            <w:tcW w:w="2126" w:type="dxa"/>
            <w:vAlign w:val="center"/>
          </w:tcPr>
          <w:p w14:paraId="2A807C1C"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hint="eastAsia"/>
                <w:color w:val="auto"/>
                <w:sz w:val="21"/>
                <w:szCs w:val="20"/>
              </w:rPr>
              <w:t>管理制度健全性</w:t>
            </w:r>
          </w:p>
        </w:tc>
        <w:tc>
          <w:tcPr>
            <w:tcW w:w="1843" w:type="dxa"/>
            <w:noWrap/>
            <w:vAlign w:val="center"/>
          </w:tcPr>
          <w:p w14:paraId="1E25F58C"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color w:val="auto"/>
                <w:sz w:val="21"/>
                <w:szCs w:val="20"/>
              </w:rPr>
              <w:t>6</w:t>
            </w:r>
          </w:p>
        </w:tc>
        <w:tc>
          <w:tcPr>
            <w:tcW w:w="1701" w:type="dxa"/>
            <w:noWrap/>
            <w:vAlign w:val="center"/>
          </w:tcPr>
          <w:p w14:paraId="3149B841"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hint="eastAsia"/>
                <w:color w:val="auto"/>
                <w:sz w:val="21"/>
                <w:szCs w:val="20"/>
              </w:rPr>
              <w:t>4</w:t>
            </w:r>
          </w:p>
        </w:tc>
      </w:tr>
      <w:tr w:rsidR="008E58E2" w14:paraId="53ED4F17" w14:textId="77777777">
        <w:trPr>
          <w:trHeight w:val="454"/>
        </w:trPr>
        <w:tc>
          <w:tcPr>
            <w:tcW w:w="1291" w:type="dxa"/>
            <w:vMerge/>
            <w:vAlign w:val="center"/>
          </w:tcPr>
          <w:p w14:paraId="3106EE63" w14:textId="77777777" w:rsidR="008E58E2" w:rsidRDefault="008E58E2">
            <w:pPr>
              <w:widowControl/>
              <w:spacing w:line="240" w:lineRule="auto"/>
              <w:ind w:firstLineChars="0" w:firstLine="0"/>
              <w:jc w:val="left"/>
              <w:rPr>
                <w:rFonts w:hAnsi="宋体" w:cs="宋体"/>
                <w:color w:val="auto"/>
                <w:sz w:val="21"/>
                <w:szCs w:val="20"/>
              </w:rPr>
            </w:pPr>
          </w:p>
        </w:tc>
        <w:tc>
          <w:tcPr>
            <w:tcW w:w="1418" w:type="dxa"/>
            <w:vMerge/>
            <w:vAlign w:val="center"/>
          </w:tcPr>
          <w:p w14:paraId="71F42068" w14:textId="77777777" w:rsidR="008E58E2" w:rsidRDefault="008E58E2">
            <w:pPr>
              <w:widowControl/>
              <w:spacing w:line="240" w:lineRule="auto"/>
              <w:ind w:firstLineChars="0" w:firstLine="0"/>
              <w:jc w:val="left"/>
              <w:rPr>
                <w:rFonts w:hAnsi="宋体" w:cs="宋体"/>
                <w:color w:val="auto"/>
                <w:sz w:val="21"/>
                <w:szCs w:val="20"/>
              </w:rPr>
            </w:pPr>
          </w:p>
        </w:tc>
        <w:tc>
          <w:tcPr>
            <w:tcW w:w="2126" w:type="dxa"/>
            <w:vAlign w:val="center"/>
          </w:tcPr>
          <w:p w14:paraId="3D8C2AD2"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hint="eastAsia"/>
                <w:color w:val="auto"/>
                <w:sz w:val="21"/>
                <w:szCs w:val="20"/>
              </w:rPr>
              <w:t>制度执行有效性</w:t>
            </w:r>
          </w:p>
        </w:tc>
        <w:tc>
          <w:tcPr>
            <w:tcW w:w="1843" w:type="dxa"/>
            <w:noWrap/>
            <w:vAlign w:val="center"/>
          </w:tcPr>
          <w:p w14:paraId="455389A3"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color w:val="auto"/>
                <w:sz w:val="21"/>
                <w:szCs w:val="20"/>
              </w:rPr>
              <w:t>6</w:t>
            </w:r>
          </w:p>
        </w:tc>
        <w:tc>
          <w:tcPr>
            <w:tcW w:w="1701" w:type="dxa"/>
            <w:noWrap/>
            <w:vAlign w:val="center"/>
          </w:tcPr>
          <w:p w14:paraId="30D419C4"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hint="eastAsia"/>
                <w:color w:val="auto"/>
                <w:sz w:val="21"/>
                <w:szCs w:val="20"/>
              </w:rPr>
              <w:t>2</w:t>
            </w:r>
          </w:p>
        </w:tc>
      </w:tr>
      <w:tr w:rsidR="008E58E2" w14:paraId="3842197C" w14:textId="77777777">
        <w:trPr>
          <w:trHeight w:val="454"/>
        </w:trPr>
        <w:tc>
          <w:tcPr>
            <w:tcW w:w="1291" w:type="dxa"/>
            <w:vMerge w:val="restart"/>
            <w:vAlign w:val="center"/>
          </w:tcPr>
          <w:p w14:paraId="52000BDB"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hint="eastAsia"/>
                <w:color w:val="auto"/>
                <w:sz w:val="21"/>
                <w:szCs w:val="20"/>
              </w:rPr>
              <w:t>项目产出及效益</w:t>
            </w:r>
          </w:p>
        </w:tc>
        <w:tc>
          <w:tcPr>
            <w:tcW w:w="1418" w:type="dxa"/>
            <w:vMerge w:val="restart"/>
            <w:vAlign w:val="center"/>
          </w:tcPr>
          <w:p w14:paraId="66D3BCFA"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hint="eastAsia"/>
                <w:color w:val="auto"/>
                <w:sz w:val="21"/>
                <w:szCs w:val="20"/>
              </w:rPr>
              <w:t>产出质量</w:t>
            </w:r>
          </w:p>
        </w:tc>
        <w:tc>
          <w:tcPr>
            <w:tcW w:w="2126" w:type="dxa"/>
            <w:vAlign w:val="center"/>
          </w:tcPr>
          <w:p w14:paraId="6405BCA7"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hint="eastAsia"/>
                <w:color w:val="auto"/>
                <w:sz w:val="21"/>
                <w:szCs w:val="20"/>
              </w:rPr>
              <w:t>实际完成情况</w:t>
            </w:r>
          </w:p>
        </w:tc>
        <w:tc>
          <w:tcPr>
            <w:tcW w:w="1843" w:type="dxa"/>
            <w:noWrap/>
            <w:vAlign w:val="center"/>
          </w:tcPr>
          <w:p w14:paraId="4B2339D8"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color w:val="auto"/>
                <w:sz w:val="21"/>
                <w:szCs w:val="20"/>
              </w:rPr>
              <w:t>10</w:t>
            </w:r>
          </w:p>
        </w:tc>
        <w:tc>
          <w:tcPr>
            <w:tcW w:w="1701" w:type="dxa"/>
            <w:noWrap/>
            <w:vAlign w:val="center"/>
          </w:tcPr>
          <w:p w14:paraId="216EF1E1"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color w:val="auto"/>
                <w:sz w:val="21"/>
                <w:szCs w:val="20"/>
              </w:rPr>
              <w:t>10</w:t>
            </w:r>
          </w:p>
        </w:tc>
      </w:tr>
      <w:tr w:rsidR="008E58E2" w14:paraId="04813A33" w14:textId="77777777">
        <w:trPr>
          <w:trHeight w:val="454"/>
        </w:trPr>
        <w:tc>
          <w:tcPr>
            <w:tcW w:w="1291" w:type="dxa"/>
            <w:vMerge/>
            <w:vAlign w:val="center"/>
          </w:tcPr>
          <w:p w14:paraId="5AD86E3B" w14:textId="77777777" w:rsidR="008E58E2" w:rsidRDefault="008E58E2">
            <w:pPr>
              <w:widowControl/>
              <w:spacing w:line="240" w:lineRule="auto"/>
              <w:ind w:firstLineChars="0" w:firstLine="0"/>
              <w:jc w:val="left"/>
              <w:rPr>
                <w:rFonts w:hAnsi="宋体" w:cs="宋体"/>
                <w:color w:val="auto"/>
                <w:sz w:val="21"/>
                <w:szCs w:val="20"/>
              </w:rPr>
            </w:pPr>
          </w:p>
        </w:tc>
        <w:tc>
          <w:tcPr>
            <w:tcW w:w="1418" w:type="dxa"/>
            <w:vMerge/>
            <w:vAlign w:val="center"/>
          </w:tcPr>
          <w:p w14:paraId="3C09B283" w14:textId="77777777" w:rsidR="008E58E2" w:rsidRDefault="008E58E2">
            <w:pPr>
              <w:widowControl/>
              <w:spacing w:line="240" w:lineRule="auto"/>
              <w:ind w:firstLineChars="0" w:firstLine="0"/>
              <w:jc w:val="left"/>
              <w:rPr>
                <w:rFonts w:hAnsi="宋体" w:cs="宋体"/>
                <w:color w:val="auto"/>
                <w:sz w:val="21"/>
                <w:szCs w:val="20"/>
              </w:rPr>
            </w:pPr>
          </w:p>
        </w:tc>
        <w:tc>
          <w:tcPr>
            <w:tcW w:w="2126" w:type="dxa"/>
            <w:vAlign w:val="center"/>
          </w:tcPr>
          <w:p w14:paraId="5B1226B4"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hint="eastAsia"/>
                <w:color w:val="auto"/>
                <w:sz w:val="21"/>
                <w:szCs w:val="20"/>
              </w:rPr>
              <w:t>质量达标情况</w:t>
            </w:r>
          </w:p>
        </w:tc>
        <w:tc>
          <w:tcPr>
            <w:tcW w:w="1843" w:type="dxa"/>
            <w:noWrap/>
            <w:vAlign w:val="center"/>
          </w:tcPr>
          <w:p w14:paraId="62639C6F"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color w:val="auto"/>
                <w:sz w:val="21"/>
                <w:szCs w:val="20"/>
              </w:rPr>
              <w:t>10</w:t>
            </w:r>
          </w:p>
        </w:tc>
        <w:tc>
          <w:tcPr>
            <w:tcW w:w="1701" w:type="dxa"/>
            <w:noWrap/>
            <w:vAlign w:val="center"/>
          </w:tcPr>
          <w:p w14:paraId="22752E62"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color w:val="auto"/>
                <w:sz w:val="21"/>
                <w:szCs w:val="20"/>
              </w:rPr>
              <w:t>8</w:t>
            </w:r>
          </w:p>
        </w:tc>
      </w:tr>
      <w:tr w:rsidR="008E58E2" w14:paraId="7D52CFAB" w14:textId="77777777">
        <w:trPr>
          <w:trHeight w:val="454"/>
        </w:trPr>
        <w:tc>
          <w:tcPr>
            <w:tcW w:w="1291" w:type="dxa"/>
            <w:vMerge/>
            <w:vAlign w:val="center"/>
          </w:tcPr>
          <w:p w14:paraId="6CA26CC6" w14:textId="77777777" w:rsidR="008E58E2" w:rsidRDefault="008E58E2">
            <w:pPr>
              <w:widowControl/>
              <w:spacing w:line="240" w:lineRule="auto"/>
              <w:ind w:firstLineChars="0" w:firstLine="0"/>
              <w:jc w:val="left"/>
              <w:rPr>
                <w:rFonts w:hAnsi="宋体" w:cs="宋体"/>
                <w:color w:val="auto"/>
                <w:sz w:val="21"/>
                <w:szCs w:val="20"/>
              </w:rPr>
            </w:pPr>
          </w:p>
        </w:tc>
        <w:tc>
          <w:tcPr>
            <w:tcW w:w="1418" w:type="dxa"/>
            <w:vMerge/>
            <w:vAlign w:val="center"/>
          </w:tcPr>
          <w:p w14:paraId="2E33D540" w14:textId="77777777" w:rsidR="008E58E2" w:rsidRDefault="008E58E2">
            <w:pPr>
              <w:widowControl/>
              <w:spacing w:line="240" w:lineRule="auto"/>
              <w:ind w:firstLineChars="0" w:firstLine="0"/>
              <w:jc w:val="left"/>
              <w:rPr>
                <w:rFonts w:hAnsi="宋体" w:cs="宋体"/>
                <w:color w:val="auto"/>
                <w:sz w:val="21"/>
                <w:szCs w:val="20"/>
              </w:rPr>
            </w:pPr>
          </w:p>
        </w:tc>
        <w:tc>
          <w:tcPr>
            <w:tcW w:w="2126" w:type="dxa"/>
            <w:vAlign w:val="center"/>
          </w:tcPr>
          <w:p w14:paraId="1588D2B1"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hint="eastAsia"/>
                <w:color w:val="auto"/>
                <w:sz w:val="21"/>
                <w:szCs w:val="20"/>
              </w:rPr>
              <w:t>完成时效性</w:t>
            </w:r>
          </w:p>
        </w:tc>
        <w:tc>
          <w:tcPr>
            <w:tcW w:w="1843" w:type="dxa"/>
            <w:noWrap/>
            <w:vAlign w:val="center"/>
          </w:tcPr>
          <w:p w14:paraId="3D078CFE"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color w:val="auto"/>
                <w:sz w:val="21"/>
                <w:szCs w:val="20"/>
              </w:rPr>
              <w:t>10</w:t>
            </w:r>
          </w:p>
        </w:tc>
        <w:tc>
          <w:tcPr>
            <w:tcW w:w="1701" w:type="dxa"/>
            <w:noWrap/>
            <w:vAlign w:val="center"/>
          </w:tcPr>
          <w:p w14:paraId="65B8CB0E"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color w:val="auto"/>
                <w:sz w:val="21"/>
                <w:szCs w:val="20"/>
              </w:rPr>
              <w:t>9</w:t>
            </w:r>
          </w:p>
        </w:tc>
      </w:tr>
      <w:tr w:rsidR="008E58E2" w14:paraId="4EB31D48" w14:textId="77777777">
        <w:trPr>
          <w:trHeight w:val="454"/>
        </w:trPr>
        <w:tc>
          <w:tcPr>
            <w:tcW w:w="1291" w:type="dxa"/>
            <w:vMerge/>
            <w:vAlign w:val="center"/>
          </w:tcPr>
          <w:p w14:paraId="6CF5CF6D" w14:textId="77777777" w:rsidR="008E58E2" w:rsidRDefault="008E58E2">
            <w:pPr>
              <w:widowControl/>
              <w:spacing w:line="240" w:lineRule="auto"/>
              <w:ind w:firstLineChars="0" w:firstLine="0"/>
              <w:jc w:val="left"/>
              <w:rPr>
                <w:rFonts w:hAnsi="宋体" w:cs="宋体"/>
                <w:color w:val="auto"/>
                <w:sz w:val="21"/>
                <w:szCs w:val="20"/>
              </w:rPr>
            </w:pPr>
          </w:p>
        </w:tc>
        <w:tc>
          <w:tcPr>
            <w:tcW w:w="1418" w:type="dxa"/>
            <w:vMerge w:val="restart"/>
            <w:vAlign w:val="center"/>
          </w:tcPr>
          <w:p w14:paraId="2D236FA0"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hint="eastAsia"/>
                <w:color w:val="auto"/>
                <w:sz w:val="21"/>
                <w:szCs w:val="20"/>
              </w:rPr>
              <w:t>产出效益</w:t>
            </w:r>
          </w:p>
        </w:tc>
        <w:tc>
          <w:tcPr>
            <w:tcW w:w="2126" w:type="dxa"/>
            <w:vAlign w:val="center"/>
          </w:tcPr>
          <w:p w14:paraId="437E1DAC"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hint="eastAsia"/>
                <w:color w:val="auto"/>
                <w:sz w:val="21"/>
                <w:szCs w:val="20"/>
              </w:rPr>
              <w:t>社会效益</w:t>
            </w:r>
          </w:p>
        </w:tc>
        <w:tc>
          <w:tcPr>
            <w:tcW w:w="1843" w:type="dxa"/>
            <w:noWrap/>
            <w:vAlign w:val="center"/>
          </w:tcPr>
          <w:p w14:paraId="58453370"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color w:val="auto"/>
                <w:sz w:val="21"/>
                <w:szCs w:val="20"/>
              </w:rPr>
              <w:t>15</w:t>
            </w:r>
          </w:p>
        </w:tc>
        <w:tc>
          <w:tcPr>
            <w:tcW w:w="1701" w:type="dxa"/>
            <w:noWrap/>
            <w:vAlign w:val="center"/>
          </w:tcPr>
          <w:p w14:paraId="71D3355D"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color w:val="auto"/>
                <w:sz w:val="21"/>
                <w:szCs w:val="20"/>
              </w:rPr>
              <w:t>15</w:t>
            </w:r>
          </w:p>
        </w:tc>
      </w:tr>
      <w:tr w:rsidR="008E58E2" w14:paraId="103FF856" w14:textId="77777777">
        <w:trPr>
          <w:trHeight w:val="454"/>
        </w:trPr>
        <w:tc>
          <w:tcPr>
            <w:tcW w:w="1291" w:type="dxa"/>
            <w:vMerge/>
            <w:vAlign w:val="center"/>
          </w:tcPr>
          <w:p w14:paraId="48772D98" w14:textId="77777777" w:rsidR="008E58E2" w:rsidRDefault="008E58E2">
            <w:pPr>
              <w:widowControl/>
              <w:spacing w:line="240" w:lineRule="auto"/>
              <w:ind w:firstLineChars="0" w:firstLine="0"/>
              <w:jc w:val="left"/>
              <w:rPr>
                <w:rFonts w:hAnsi="宋体" w:cs="宋体"/>
                <w:color w:val="auto"/>
                <w:sz w:val="21"/>
                <w:szCs w:val="20"/>
              </w:rPr>
            </w:pPr>
          </w:p>
        </w:tc>
        <w:tc>
          <w:tcPr>
            <w:tcW w:w="1418" w:type="dxa"/>
            <w:vMerge/>
            <w:vAlign w:val="center"/>
          </w:tcPr>
          <w:p w14:paraId="1F1D0347" w14:textId="77777777" w:rsidR="008E58E2" w:rsidRDefault="008E58E2">
            <w:pPr>
              <w:widowControl/>
              <w:spacing w:line="240" w:lineRule="auto"/>
              <w:ind w:firstLineChars="0" w:firstLine="0"/>
              <w:jc w:val="left"/>
              <w:rPr>
                <w:rFonts w:hAnsi="宋体" w:cs="宋体"/>
                <w:color w:val="auto"/>
                <w:sz w:val="21"/>
                <w:szCs w:val="20"/>
              </w:rPr>
            </w:pPr>
          </w:p>
        </w:tc>
        <w:tc>
          <w:tcPr>
            <w:tcW w:w="2126" w:type="dxa"/>
            <w:vAlign w:val="center"/>
          </w:tcPr>
          <w:p w14:paraId="37137337"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hint="eastAsia"/>
                <w:color w:val="auto"/>
                <w:sz w:val="21"/>
                <w:szCs w:val="20"/>
              </w:rPr>
              <w:t>可持续影响</w:t>
            </w:r>
          </w:p>
        </w:tc>
        <w:tc>
          <w:tcPr>
            <w:tcW w:w="1843" w:type="dxa"/>
            <w:noWrap/>
            <w:vAlign w:val="center"/>
          </w:tcPr>
          <w:p w14:paraId="0037D635"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color w:val="auto"/>
                <w:sz w:val="21"/>
                <w:szCs w:val="20"/>
              </w:rPr>
              <w:t>15</w:t>
            </w:r>
          </w:p>
        </w:tc>
        <w:tc>
          <w:tcPr>
            <w:tcW w:w="1701" w:type="dxa"/>
            <w:noWrap/>
            <w:vAlign w:val="center"/>
          </w:tcPr>
          <w:p w14:paraId="79215ED5" w14:textId="77777777" w:rsidR="008E58E2" w:rsidRDefault="00772BFC">
            <w:pPr>
              <w:widowControl/>
              <w:spacing w:line="240" w:lineRule="auto"/>
              <w:ind w:firstLineChars="0" w:firstLine="0"/>
              <w:jc w:val="center"/>
              <w:rPr>
                <w:rFonts w:hAnsi="宋体" w:cs="宋体"/>
                <w:color w:val="auto"/>
                <w:sz w:val="21"/>
                <w:szCs w:val="20"/>
              </w:rPr>
            </w:pPr>
            <w:r>
              <w:rPr>
                <w:rFonts w:hAnsi="宋体" w:cs="宋体"/>
                <w:color w:val="auto"/>
                <w:sz w:val="21"/>
                <w:szCs w:val="20"/>
              </w:rPr>
              <w:t>15</w:t>
            </w:r>
          </w:p>
        </w:tc>
      </w:tr>
    </w:tbl>
    <w:p w14:paraId="0126ACC6" w14:textId="77777777" w:rsidR="008E58E2" w:rsidRDefault="008E58E2">
      <w:pPr>
        <w:ind w:firstLineChars="0" w:firstLine="0"/>
        <w:rPr>
          <w:color w:val="auto"/>
          <w:sz w:val="24"/>
          <w:szCs w:val="24"/>
        </w:rPr>
      </w:pPr>
    </w:p>
    <w:p w14:paraId="43BEDDE1" w14:textId="77777777" w:rsidR="008E58E2" w:rsidRDefault="00772BFC">
      <w:pPr>
        <w:pStyle w:val="a6"/>
        <w:ind w:firstLine="540"/>
        <w:rPr>
          <w:color w:val="auto"/>
        </w:rPr>
      </w:pPr>
      <w:r>
        <w:rPr>
          <w:rFonts w:hint="eastAsia"/>
          <w:color w:val="auto"/>
        </w:rPr>
        <w:t>根据本项目绩效评价指标打分评价，得出中小学消防改造、幼儿园生均公用经费及2017-2019年校车运行费项目绩效评价最终得分为</w:t>
      </w:r>
      <w:r>
        <w:rPr>
          <w:color w:val="auto"/>
        </w:rPr>
        <w:t>88</w:t>
      </w:r>
      <w:r>
        <w:rPr>
          <w:rFonts w:hint="eastAsia"/>
          <w:color w:val="auto"/>
        </w:rPr>
        <w:t>分，绩效评价等级为“良”。</w:t>
      </w:r>
    </w:p>
    <w:p w14:paraId="0C52D231" w14:textId="77777777" w:rsidR="008E58E2" w:rsidRDefault="008E58E2">
      <w:pPr>
        <w:pStyle w:val="2"/>
        <w:ind w:firstLine="562"/>
        <w:sectPr w:rsidR="008E58E2" w:rsidSect="00AC30B7">
          <w:pgSz w:w="11906" w:h="16838"/>
          <w:pgMar w:top="1702" w:right="1803" w:bottom="1440" w:left="1803" w:header="1276" w:footer="850" w:gutter="0"/>
          <w:cols w:space="720"/>
        </w:sectPr>
      </w:pPr>
    </w:p>
    <w:p w14:paraId="60564B62" w14:textId="77777777" w:rsidR="008E58E2" w:rsidRDefault="00772BFC">
      <w:pPr>
        <w:pStyle w:val="2"/>
        <w:ind w:firstLine="562"/>
      </w:pPr>
      <w:bookmarkStart w:id="28" w:name="_Toc23692"/>
      <w:r>
        <w:rPr>
          <w:rFonts w:hint="eastAsia"/>
        </w:rPr>
        <w:lastRenderedPageBreak/>
        <w:t>3</w:t>
      </w:r>
      <w:r>
        <w:t>.</w:t>
      </w:r>
      <w:r>
        <w:rPr>
          <w:rFonts w:hint="eastAsia"/>
        </w:rPr>
        <w:t>绩效评价结论</w:t>
      </w:r>
      <w:bookmarkEnd w:id="28"/>
    </w:p>
    <w:p w14:paraId="6996E789" w14:textId="77777777" w:rsidR="008E58E2" w:rsidRDefault="00772BFC">
      <w:pPr>
        <w:pStyle w:val="a6"/>
        <w:ind w:firstLine="540"/>
      </w:pPr>
      <w:r>
        <w:rPr>
          <w:rFonts w:hint="eastAsia"/>
        </w:rPr>
        <w:t>我们通过对中小学消防改造、幼儿园生均公用经费及2017-2019年校车运行费项目的决策、过程、产出和效益四个方面进行全面的综合绩效评价，得出结论如下：</w:t>
      </w:r>
    </w:p>
    <w:p w14:paraId="5D3D530D" w14:textId="77777777" w:rsidR="008E58E2" w:rsidRDefault="00772BFC">
      <w:pPr>
        <w:pStyle w:val="a6"/>
        <w:ind w:firstLine="540"/>
      </w:pPr>
      <w:r>
        <w:rPr>
          <w:rFonts w:hint="eastAsia"/>
        </w:rPr>
        <w:t>项目决策方面，该项目立项依据充分、过程规范，立项内容符合国家政策、发展规划要求，符合部门履职要求；项目绩效目标设置合理可行、依据充分，项目实施内容符合主管部门的实际工作要求；项目预算</w:t>
      </w:r>
      <w:proofErr w:type="gramStart"/>
      <w:r>
        <w:rPr>
          <w:rFonts w:hint="eastAsia"/>
        </w:rPr>
        <w:t>编制较</w:t>
      </w:r>
      <w:proofErr w:type="gramEnd"/>
      <w:r>
        <w:rPr>
          <w:rFonts w:hint="eastAsia"/>
        </w:rPr>
        <w:t>科学合理，预算内容基本符合项目实际需求，预算额度测算依据充分，标准明确，预算投入资金量与项目内容较匹配。</w:t>
      </w:r>
    </w:p>
    <w:p w14:paraId="14A8033A" w14:textId="77777777" w:rsidR="008E58E2" w:rsidRDefault="00772BFC">
      <w:pPr>
        <w:pStyle w:val="a6"/>
        <w:ind w:firstLine="540"/>
      </w:pPr>
      <w:r>
        <w:rPr>
          <w:rFonts w:hint="eastAsia"/>
        </w:rPr>
        <w:t>项目过程方面，该项目预算资金足额到位，预算执行情况较好；项目财务管理工作规范；项目单位管理制度体系较健全、文件编制规范，制度内容可有效指导部门管理工作及项目业务工作开展，但制度执行有效性一般，项目存在未按合同执行的情况。</w:t>
      </w:r>
    </w:p>
    <w:p w14:paraId="0C9071F5" w14:textId="77777777" w:rsidR="008E58E2" w:rsidRDefault="00772BFC">
      <w:pPr>
        <w:pStyle w:val="a6"/>
        <w:ind w:firstLine="540"/>
      </w:pPr>
      <w:r>
        <w:rPr>
          <w:rFonts w:hint="eastAsia"/>
        </w:rPr>
        <w:t>项目产出和项目效益方面，该项目在约定时限内完成，项目实施完成进一步改善并提升校舍基础设施建设，减少校园安全隐患发生，保障师生工作、学习、生活的安全环境，夯实创建平安校园的办学基础；校车安全运行有效减少交通安全事故，保障学生出行安全，该项目具有良好的社会效益及可持续性。</w:t>
      </w:r>
    </w:p>
    <w:p w14:paraId="1C708C16" w14:textId="77777777" w:rsidR="008E58E2" w:rsidRDefault="00772BFC">
      <w:pPr>
        <w:pStyle w:val="a6"/>
        <w:ind w:firstLine="540"/>
        <w:rPr>
          <w:sz w:val="24"/>
        </w:rPr>
      </w:pPr>
      <w:r>
        <w:rPr>
          <w:rFonts w:hint="eastAsia"/>
        </w:rPr>
        <w:t>根据评价分值，</w:t>
      </w:r>
      <w:r>
        <w:rPr>
          <w:rFonts w:hint="eastAsia"/>
          <w:color w:val="auto"/>
        </w:rPr>
        <w:t>确定中小学消防改造、幼儿园生均公用经费及2017-2019年校车运行费项目绩效评</w:t>
      </w:r>
      <w:r>
        <w:rPr>
          <w:rFonts w:hint="eastAsia"/>
        </w:rPr>
        <w:t>价得分为</w:t>
      </w:r>
      <w:r>
        <w:t>88</w:t>
      </w:r>
      <w:r>
        <w:rPr>
          <w:rFonts w:hint="eastAsia"/>
        </w:rPr>
        <w:t>分，等级为“良”。</w:t>
      </w:r>
    </w:p>
    <w:p w14:paraId="24BAF7CB" w14:textId="77777777" w:rsidR="008E58E2" w:rsidRDefault="00772BFC">
      <w:pPr>
        <w:pStyle w:val="1"/>
        <w:ind w:firstLine="600"/>
      </w:pPr>
      <w:bookmarkStart w:id="29" w:name="_Toc17500"/>
      <w:r>
        <w:rPr>
          <w:rFonts w:hint="eastAsia"/>
        </w:rPr>
        <w:t>五、存在的问题</w:t>
      </w:r>
      <w:bookmarkEnd w:id="29"/>
    </w:p>
    <w:p w14:paraId="33C0EB62" w14:textId="77777777" w:rsidR="008E58E2" w:rsidRDefault="00772BFC">
      <w:pPr>
        <w:pStyle w:val="2"/>
        <w:ind w:firstLine="562"/>
      </w:pPr>
      <w:bookmarkStart w:id="30" w:name="_Toc1323"/>
      <w:r>
        <w:rPr>
          <w:rFonts w:hint="eastAsia"/>
        </w:rPr>
        <w:t>（一）预算确定资金量与工作匹配度一般</w:t>
      </w:r>
      <w:bookmarkEnd w:id="30"/>
    </w:p>
    <w:p w14:paraId="0B12D0C4" w14:textId="77777777" w:rsidR="008E58E2" w:rsidRDefault="00772BFC">
      <w:pPr>
        <w:ind w:firstLine="540"/>
        <w:rPr>
          <w:rFonts w:ascii="仿宋_GB2312"/>
        </w:rPr>
      </w:pPr>
      <w:r>
        <w:rPr>
          <w:rFonts w:hAnsi="宋体" w:cs="宋体" w:hint="eastAsia"/>
        </w:rPr>
        <w:t>通过</w:t>
      </w:r>
      <w:proofErr w:type="gramStart"/>
      <w:r>
        <w:rPr>
          <w:rFonts w:hAnsi="宋体" w:cs="宋体" w:hint="eastAsia"/>
        </w:rPr>
        <w:t>查阅看</w:t>
      </w:r>
      <w:proofErr w:type="gramEnd"/>
      <w:r>
        <w:rPr>
          <w:rFonts w:hAnsi="宋体" w:cs="宋体" w:hint="eastAsia"/>
        </w:rPr>
        <w:t>项目资料，预算额度测算依据充分、标准明确，预算资金量与工作内容匹配度较高，预算审核程序科学，预算申报程序合</w:t>
      </w:r>
      <w:proofErr w:type="gramStart"/>
      <w:r>
        <w:rPr>
          <w:rFonts w:hAnsi="宋体" w:cs="宋体" w:hint="eastAsia"/>
        </w:rPr>
        <w:t>规</w:t>
      </w:r>
      <w:proofErr w:type="gramEnd"/>
      <w:r>
        <w:rPr>
          <w:rFonts w:hAnsi="宋体" w:cs="宋体" w:hint="eastAsia"/>
        </w:rPr>
        <w:t>，预算编制科学合理。但存在已实施完成项目在编制预算时未列示的现象，如十一中维修改造费项目填报的《项目支出绩效目标申报表》，资金测</w:t>
      </w:r>
      <w:r>
        <w:rPr>
          <w:rFonts w:hAnsi="宋体" w:cs="宋体" w:hint="eastAsia"/>
        </w:rPr>
        <w:lastRenderedPageBreak/>
        <w:t>算明细中不包括学生公寓储物柜采购项目，但十一中却用维修改造费项目资金组织实施完成该项目。</w:t>
      </w:r>
    </w:p>
    <w:p w14:paraId="6BDFB196" w14:textId="77777777" w:rsidR="008E58E2" w:rsidRDefault="00772BFC">
      <w:pPr>
        <w:pStyle w:val="2"/>
        <w:ind w:firstLine="562"/>
      </w:pPr>
      <w:bookmarkStart w:id="31" w:name="_Toc13605"/>
      <w:r>
        <w:rPr>
          <w:rFonts w:hint="eastAsia"/>
        </w:rPr>
        <w:t>（二）资金使用规范性有待进一步加强</w:t>
      </w:r>
      <w:bookmarkEnd w:id="31"/>
    </w:p>
    <w:p w14:paraId="7FACC525" w14:textId="77777777" w:rsidR="008E58E2" w:rsidRDefault="00772BFC">
      <w:pPr>
        <w:ind w:firstLine="540"/>
      </w:pPr>
      <w:r>
        <w:rPr>
          <w:rFonts w:hint="eastAsia"/>
        </w:rPr>
        <w:t>通过查看财务资料，财务管理依据《政府会计准则制度》等文件要求，开展项目资金管理、申报、审批、支出使用等工作。</w:t>
      </w:r>
    </w:p>
    <w:p w14:paraId="22140DCF" w14:textId="77777777" w:rsidR="008E58E2" w:rsidRDefault="00772BFC">
      <w:pPr>
        <w:ind w:firstLine="540"/>
      </w:pPr>
      <w:r>
        <w:rPr>
          <w:rFonts w:hint="eastAsia"/>
        </w:rPr>
        <w:t>项目资金主要用于与项目内容相关款项的支付，基本符合项目设定用途，付款依据基本合</w:t>
      </w:r>
      <w:proofErr w:type="gramStart"/>
      <w:r>
        <w:rPr>
          <w:rFonts w:hint="eastAsia"/>
        </w:rPr>
        <w:t>规</w:t>
      </w:r>
      <w:proofErr w:type="gramEnd"/>
      <w:r>
        <w:rPr>
          <w:rFonts w:hint="eastAsia"/>
        </w:rPr>
        <w:t>，无虚列项目支出的情况，但存在多个项目资金支付未按合同规定执行的现象，如实验</w:t>
      </w:r>
      <w:proofErr w:type="gramStart"/>
      <w:r>
        <w:rPr>
          <w:rFonts w:hint="eastAsia"/>
        </w:rPr>
        <w:t>中学深改项目</w:t>
      </w:r>
      <w:proofErr w:type="gramEnd"/>
      <w:r>
        <w:rPr>
          <w:rFonts w:hint="eastAsia"/>
        </w:rPr>
        <w:t>（文明校园创建）中全国文明校园现场会校园绿化美化项目、全国文明校园现场会校园内空调维修维护项目及创建文明校园整改、维修项目，合同均约定质保期满后结清质保金，但项目均在质保期内支付质保金。</w:t>
      </w:r>
    </w:p>
    <w:p w14:paraId="7662914B" w14:textId="77777777" w:rsidR="008E58E2" w:rsidRDefault="00772BFC">
      <w:pPr>
        <w:ind w:firstLine="540"/>
      </w:pPr>
      <w:r>
        <w:rPr>
          <w:rFonts w:hint="eastAsia"/>
        </w:rPr>
        <w:t>十一中维修改造费项目中体育馆舞台灯光改造项目及室外</w:t>
      </w:r>
      <w:proofErr w:type="gramStart"/>
      <w:r>
        <w:rPr>
          <w:rFonts w:hint="eastAsia"/>
        </w:rPr>
        <w:t>篮</w:t>
      </w:r>
      <w:proofErr w:type="gramEnd"/>
      <w:r>
        <w:rPr>
          <w:rFonts w:hint="eastAsia"/>
        </w:rPr>
        <w:t>排球场及部分田径跑道塑胶维修项目，合同均约定预留</w:t>
      </w:r>
      <w:proofErr w:type="gramStart"/>
      <w:r>
        <w:rPr>
          <w:rFonts w:hint="eastAsia"/>
        </w:rPr>
        <w:t>审计值</w:t>
      </w:r>
      <w:proofErr w:type="gramEnd"/>
      <w:r>
        <w:rPr>
          <w:rFonts w:hint="eastAsia"/>
        </w:rPr>
        <w:t>的3%作为质保金，但项目均全额付款，未按合同约定预留3%质保金。</w:t>
      </w:r>
    </w:p>
    <w:p w14:paraId="3E6CD4F2" w14:textId="77777777" w:rsidR="008E58E2" w:rsidRDefault="00772BFC">
      <w:pPr>
        <w:ind w:firstLine="540"/>
      </w:pPr>
      <w:r>
        <w:rPr>
          <w:rFonts w:hint="eastAsia"/>
        </w:rPr>
        <w:t>十一中维修改造费项目中学生公寓维修改造项目合同执行不到位，合同约定工程质量保证金按审定结算总额的3%预留，该项目审定值为1663211.58元，支付资金1628800元，预留34411.58元，质保金占审定值2%，低于合同约定质保金。</w:t>
      </w:r>
    </w:p>
    <w:p w14:paraId="70321490" w14:textId="77777777" w:rsidR="008E58E2" w:rsidRDefault="00772BFC">
      <w:pPr>
        <w:ind w:firstLine="540"/>
      </w:pPr>
      <w:r>
        <w:rPr>
          <w:rFonts w:hint="eastAsia"/>
        </w:rPr>
        <w:t>十一中维修改造费项目中部分零星及应急维修工程项目，分三个标段进行招标，合同均约定“工程完工后付至工程结算值的85%，一年后付至剩余价款10%，余款自质保期结束后无质量问题无息付清”，支付金额均高于</w:t>
      </w:r>
      <w:proofErr w:type="gramStart"/>
      <w:r>
        <w:rPr>
          <w:rFonts w:hint="eastAsia"/>
        </w:rPr>
        <w:t>审计值</w:t>
      </w:r>
      <w:proofErr w:type="gramEnd"/>
      <w:r>
        <w:rPr>
          <w:rFonts w:hint="eastAsia"/>
        </w:rPr>
        <w:t>的85%，未按合同约定支付工程款。</w:t>
      </w:r>
    </w:p>
    <w:p w14:paraId="4C4BD18C" w14:textId="77777777" w:rsidR="008E58E2" w:rsidRDefault="00772BFC">
      <w:pPr>
        <w:ind w:firstLine="540"/>
        <w:rPr>
          <w:rFonts w:ascii="仿宋_GB2312"/>
        </w:rPr>
      </w:pPr>
      <w:r>
        <w:rPr>
          <w:rFonts w:hint="eastAsia"/>
        </w:rPr>
        <w:t>存在未按批复使用的现象。如十一中维修改造费项目资金测算明细中不包括学生公寓储物柜采购项目，但十一中却用维修改造费项目资金组织实施完成学生公寓储物柜采购项目。</w:t>
      </w:r>
    </w:p>
    <w:p w14:paraId="13B2BDCE" w14:textId="77777777" w:rsidR="008E58E2" w:rsidRDefault="00772BFC">
      <w:pPr>
        <w:pStyle w:val="2"/>
        <w:ind w:firstLine="562"/>
      </w:pPr>
      <w:bookmarkStart w:id="32" w:name="_Toc18099"/>
      <w:r>
        <w:rPr>
          <w:rFonts w:hint="eastAsia"/>
        </w:rPr>
        <w:t>（三）市场化运作缺乏考核机制</w:t>
      </w:r>
      <w:bookmarkEnd w:id="32"/>
    </w:p>
    <w:p w14:paraId="4B28486C" w14:textId="77777777" w:rsidR="008E58E2" w:rsidRDefault="00772BFC">
      <w:pPr>
        <w:ind w:firstLine="540"/>
        <w:rPr>
          <w:rFonts w:hAnsi="宋体" w:cs="宋体"/>
        </w:rPr>
      </w:pPr>
      <w:r>
        <w:rPr>
          <w:rFonts w:hAnsi="宋体" w:cs="宋体" w:hint="eastAsia"/>
        </w:rPr>
        <w:lastRenderedPageBreak/>
        <w:t>通过调查了解，项目实施单位在财务管理方面制度较健全，但业务管理制度方面需要进一步加强，市场化运作项目缺乏相应考核机制。</w:t>
      </w:r>
    </w:p>
    <w:p w14:paraId="636F471A" w14:textId="77777777" w:rsidR="008E58E2" w:rsidRDefault="00772BFC">
      <w:pPr>
        <w:pStyle w:val="2"/>
        <w:ind w:firstLine="562"/>
      </w:pPr>
      <w:bookmarkStart w:id="33" w:name="_Toc900"/>
      <w:r>
        <w:rPr>
          <w:rFonts w:hint="eastAsia"/>
        </w:rPr>
        <w:t>（四）制度执行有效性一般</w:t>
      </w:r>
      <w:bookmarkEnd w:id="33"/>
      <w:r>
        <w:t xml:space="preserve"> </w:t>
      </w:r>
    </w:p>
    <w:p w14:paraId="3F07918E" w14:textId="77777777" w:rsidR="008E58E2" w:rsidRDefault="00772BFC">
      <w:pPr>
        <w:ind w:firstLine="540"/>
      </w:pPr>
      <w:r>
        <w:rPr>
          <w:rFonts w:hint="eastAsia"/>
        </w:rPr>
        <w:t>该项目执行过程中存在未按合同执行或合同执行不到位的现象，如实验</w:t>
      </w:r>
      <w:proofErr w:type="gramStart"/>
      <w:r>
        <w:rPr>
          <w:rFonts w:hint="eastAsia"/>
        </w:rPr>
        <w:t>中学深改项目</w:t>
      </w:r>
      <w:proofErr w:type="gramEnd"/>
      <w:r>
        <w:rPr>
          <w:rFonts w:hint="eastAsia"/>
        </w:rPr>
        <w:t>（文明校园创建）中全国文明校园现场会校园绿化美化项目、全国文明校园现场会校园内空调维修维护项目及创建文明校园整改、维修项目，合同均约定质保期满后结清质保金，但项目均在质保期内支付质保金。十一中维修改造费项目中体育馆舞台灯光改造项目及室外</w:t>
      </w:r>
      <w:proofErr w:type="gramStart"/>
      <w:r>
        <w:rPr>
          <w:rFonts w:hint="eastAsia"/>
        </w:rPr>
        <w:t>篮</w:t>
      </w:r>
      <w:proofErr w:type="gramEnd"/>
      <w:r>
        <w:rPr>
          <w:rFonts w:hint="eastAsia"/>
        </w:rPr>
        <w:t>排球场及部分田径跑道塑胶维修项目，合同均约定预留</w:t>
      </w:r>
      <w:proofErr w:type="gramStart"/>
      <w:r>
        <w:rPr>
          <w:rFonts w:hint="eastAsia"/>
        </w:rPr>
        <w:t>审计值</w:t>
      </w:r>
      <w:proofErr w:type="gramEnd"/>
      <w:r>
        <w:rPr>
          <w:rFonts w:hint="eastAsia"/>
        </w:rPr>
        <w:t>的3%作为质保金，但项目均全额付款，未按合同约定预留3%质保金。十一中维修改造费项目中学生公寓维修改造项目合同执行不到位，合同约定工程质量保证金按审定结算总额的3%预留，该项目审定值为1663211.58元，支付资金1628800元，预留34411.58元，质保金占审定值2%，低于合同约定质保金。十一中维修改造费项目中部分零星及应急维修工程项目，分三个标段进行招标，合同均约定“工程完工后付至工程结算值的85%，一年后付至剩余价款10%，余款自质保期结束后无质量问题无息付清”，支付金额均高于</w:t>
      </w:r>
      <w:proofErr w:type="gramStart"/>
      <w:r>
        <w:rPr>
          <w:rFonts w:hint="eastAsia"/>
        </w:rPr>
        <w:t>审计值</w:t>
      </w:r>
      <w:proofErr w:type="gramEnd"/>
      <w:r>
        <w:rPr>
          <w:rFonts w:hint="eastAsia"/>
        </w:rPr>
        <w:t>的85%，未按合同约定支付工程款。</w:t>
      </w:r>
    </w:p>
    <w:p w14:paraId="2067B7A6" w14:textId="77777777" w:rsidR="008E58E2" w:rsidRDefault="00772BFC">
      <w:pPr>
        <w:ind w:firstLine="540"/>
      </w:pPr>
      <w:r>
        <w:rPr>
          <w:rFonts w:hint="eastAsia"/>
        </w:rPr>
        <w:t>项目执行过程中存在档案归档欠规范的现象，如2017-2019年26辆校车运行费项目于2011年12月15日区地事局与淄博市公共汽车公司开发区分公司签订《淄博高新区接送学生车辆委托运行合同》，合同期限为十年，在合同期内对价格进行调整，由每年223.2万元调整为278.01万元，项目调整手续较规范，但由于人员调整项目实施单位未能提供调整相关资料。2011年7月25日高新区第18次主任办公会议研究通过《高新区接送学生车辆运行方案》，确定高</w:t>
      </w:r>
      <w:proofErr w:type="gramStart"/>
      <w:r>
        <w:rPr>
          <w:rFonts w:hint="eastAsia"/>
        </w:rPr>
        <w:t>新区管</w:t>
      </w:r>
      <w:proofErr w:type="gramEnd"/>
      <w:r>
        <w:rPr>
          <w:rFonts w:hint="eastAsia"/>
        </w:rPr>
        <w:t>委对每年发生的运行费用补贴一半，剩余一半由村居或学生个人负担，在项目实施过程中，高新区决定全部费用由区管委承担，但由于人员调整项目实施单位</w:t>
      </w:r>
      <w:r>
        <w:rPr>
          <w:rFonts w:hint="eastAsia"/>
        </w:rPr>
        <w:lastRenderedPageBreak/>
        <w:t>未能提供调整相关资料。</w:t>
      </w:r>
    </w:p>
    <w:p w14:paraId="45FD2496" w14:textId="77777777" w:rsidR="008E58E2" w:rsidRDefault="00772BFC">
      <w:pPr>
        <w:ind w:firstLine="540"/>
      </w:pPr>
      <w:r>
        <w:rPr>
          <w:rFonts w:hint="eastAsia"/>
        </w:rPr>
        <w:t>存在验收工作规范性一般的现象，如十一中维修改造费项目中部分零星及应急维修工程项目，分三个标段进行招标，合同均约定“每批材料进场时，甲方对乙方所供材料进行验收，并签署验收意见”“每分部分项工程完工后，乙方应及时向甲方报检，合格后方可进行下一项分部工程”，但通过现场调查，十一中未对每批进场材料进行验收，未对每分部分项工程进行验收。区教育中心根据区地事局、区财政局《关于高新区学前教育生均公用经费的实施方案》文件规定对各幼儿园生均公用经费的使用进行监督检查，但区教育中心监督检查工作未形成监督检查报告。</w:t>
      </w:r>
    </w:p>
    <w:p w14:paraId="1B715AB2" w14:textId="77777777" w:rsidR="008E58E2" w:rsidRDefault="00772BFC">
      <w:pPr>
        <w:ind w:firstLine="540"/>
      </w:pPr>
      <w:r>
        <w:rPr>
          <w:rFonts w:hint="eastAsia"/>
        </w:rPr>
        <w:t>存在合同签订不规范现象，如实验中学装饰装修工程，项目预算金额216547.6元，通过竞争性磋商方式确定项目实施单位为淄博福田建筑安装有限公司，中标金额为211999.21元，2019年7月2日签订合同，合同大小写金额不一致，小写金额为211999.21元，大写金额为贰拾壹万玖仟玖佰玖拾玖元贰角壹分。</w:t>
      </w:r>
    </w:p>
    <w:p w14:paraId="66B12E16" w14:textId="77777777" w:rsidR="008E58E2" w:rsidRDefault="00772BFC">
      <w:pPr>
        <w:pStyle w:val="2"/>
        <w:ind w:firstLine="562"/>
      </w:pPr>
      <w:bookmarkStart w:id="34" w:name="_Toc14036"/>
      <w:r>
        <w:rPr>
          <w:rFonts w:hint="eastAsia"/>
        </w:rPr>
        <w:t>（五）存在部分项目改造效果不明显、项目评审延后现象</w:t>
      </w:r>
      <w:bookmarkEnd w:id="34"/>
    </w:p>
    <w:p w14:paraId="3641F083" w14:textId="77777777" w:rsidR="008E58E2" w:rsidRDefault="00772BFC">
      <w:pPr>
        <w:ind w:firstLine="540"/>
      </w:pPr>
      <w:r>
        <w:rPr>
          <w:rFonts w:hint="eastAsia"/>
        </w:rPr>
        <w:t>经现场勘查各</w:t>
      </w:r>
      <w:proofErr w:type="gramStart"/>
      <w:r>
        <w:rPr>
          <w:rFonts w:hint="eastAsia"/>
        </w:rPr>
        <w:t>学校消防</w:t>
      </w:r>
      <w:proofErr w:type="gramEnd"/>
      <w:r>
        <w:rPr>
          <w:rFonts w:hint="eastAsia"/>
        </w:rPr>
        <w:t>改造、维修改造、设施设备购置、项目运行等情况，存在</w:t>
      </w:r>
      <w:bookmarkStart w:id="35" w:name="_Hlk51164097"/>
      <w:r>
        <w:rPr>
          <w:rFonts w:hint="eastAsia"/>
        </w:rPr>
        <w:t>部分工程维修改造效果不明显</w:t>
      </w:r>
      <w:bookmarkEnd w:id="35"/>
      <w:r>
        <w:rPr>
          <w:rFonts w:hint="eastAsia"/>
        </w:rPr>
        <w:t>的现象，如十一中维修改造费项目室外</w:t>
      </w:r>
      <w:proofErr w:type="gramStart"/>
      <w:r>
        <w:rPr>
          <w:rFonts w:hint="eastAsia"/>
        </w:rPr>
        <w:t>篮</w:t>
      </w:r>
      <w:proofErr w:type="gramEnd"/>
      <w:r>
        <w:rPr>
          <w:rFonts w:hint="eastAsia"/>
        </w:rPr>
        <w:t>排球场及部分田径跑道塑胶维修项目出现地面凹凸不平现象。</w:t>
      </w:r>
    </w:p>
    <w:p w14:paraId="1AB4A85C" w14:textId="77777777" w:rsidR="008E58E2" w:rsidRDefault="00772BFC">
      <w:pPr>
        <w:ind w:firstLine="540"/>
        <w:rPr>
          <w:rFonts w:ascii="仿宋_GB2312"/>
        </w:rPr>
      </w:pPr>
      <w:r>
        <w:rPr>
          <w:rFonts w:hAnsi="宋体" w:cs="宋体" w:hint="eastAsia"/>
        </w:rPr>
        <w:t>通过查阅项目资料，但存在项目评审延后现象，如实验</w:t>
      </w:r>
      <w:proofErr w:type="gramStart"/>
      <w:r>
        <w:rPr>
          <w:rFonts w:hAnsi="宋体" w:cs="宋体" w:hint="eastAsia"/>
        </w:rPr>
        <w:t>中学深改项目</w:t>
      </w:r>
      <w:proofErr w:type="gramEnd"/>
      <w:r>
        <w:rPr>
          <w:rFonts w:hAnsi="宋体" w:cs="宋体" w:hint="eastAsia"/>
        </w:rPr>
        <w:t>涉及施工内容均在2017年6月份完成，并组织验收合格，2018年12月份进行评审，竣工与审计时间间隔较长。</w:t>
      </w:r>
    </w:p>
    <w:p w14:paraId="1FAB91F0" w14:textId="77777777" w:rsidR="008E58E2" w:rsidRDefault="00772BFC">
      <w:pPr>
        <w:pStyle w:val="1"/>
        <w:ind w:firstLine="600"/>
      </w:pPr>
      <w:bookmarkStart w:id="36" w:name="_Toc25869"/>
      <w:r>
        <w:rPr>
          <w:rFonts w:hint="eastAsia"/>
        </w:rPr>
        <w:t>六、有关建议</w:t>
      </w:r>
      <w:bookmarkEnd w:id="36"/>
    </w:p>
    <w:p w14:paraId="140A66BA" w14:textId="77777777" w:rsidR="008E58E2" w:rsidRDefault="00772BFC">
      <w:pPr>
        <w:pStyle w:val="2"/>
        <w:ind w:firstLine="562"/>
      </w:pPr>
      <w:bookmarkStart w:id="37" w:name="_Toc12697"/>
      <w:r>
        <w:rPr>
          <w:rFonts w:hint="eastAsia"/>
        </w:rPr>
        <w:t>（一）全面搜集数据，提高预算编制精准度</w:t>
      </w:r>
      <w:bookmarkEnd w:id="37"/>
    </w:p>
    <w:p w14:paraId="6E13AC6F" w14:textId="77777777" w:rsidR="008E58E2" w:rsidRDefault="00772BFC">
      <w:pPr>
        <w:ind w:firstLine="540"/>
        <w:rPr>
          <w:rFonts w:hAnsi="宋体"/>
        </w:rPr>
      </w:pPr>
      <w:r>
        <w:rPr>
          <w:rFonts w:hAnsi="宋体" w:hint="eastAsia"/>
        </w:rPr>
        <w:t>根据中共中央、国务院《关于全面实施预算绩效管理的意见》（2018</w:t>
      </w:r>
      <w:r>
        <w:rPr>
          <w:rFonts w:hAnsi="宋体" w:hint="eastAsia"/>
        </w:rPr>
        <w:lastRenderedPageBreak/>
        <w:t>年9月1日）要求“各地区各部门编制预算时要贯彻落实党中央、国务院各项决策部署，分解细化各项工作要求，结合本地区本部门实际情况，全面设置部门和单位整体绩效目标、政策及项目绩效目标预算安排的前置条件，加强绩效目标审核，将绩效目标与预算同步批复下达”。预算绩效目标管理主要是将部门职责、规划目标与预算资金安排、项目实施和项目管理有效结合，形成良好的绩效目标导向机制，建议项目相关预算部门、单位根据确定的总体目标，制订项目实施计划，以部门目标为基础推衍编制项目绩效目标。</w:t>
      </w:r>
    </w:p>
    <w:p w14:paraId="03CB0761" w14:textId="77777777" w:rsidR="008E58E2" w:rsidRDefault="00772BFC">
      <w:pPr>
        <w:ind w:firstLine="540"/>
        <w:rPr>
          <w:rFonts w:hAnsi="宋体"/>
        </w:rPr>
      </w:pPr>
      <w:r>
        <w:rPr>
          <w:rFonts w:hAnsi="宋体" w:hint="eastAsia"/>
        </w:rPr>
        <w:t>建议项目实施单位在编制项目预算资金时全面、准确搜集各项相关数据，根据相关资料、结合项目实际准确编制绩效目标及资金预算明细，绩效目标及预算明细应符合客观实际，合理可行，指向明确，符合国民经济和社会发展规划、部门职能及事业发展规划，并与相应的财政支出范围、方向、效果紧密相关，提高预算准确性。</w:t>
      </w:r>
    </w:p>
    <w:p w14:paraId="1EE6BAD4" w14:textId="77777777" w:rsidR="008E58E2" w:rsidRDefault="00772BFC">
      <w:pPr>
        <w:pStyle w:val="2"/>
        <w:ind w:firstLine="562"/>
      </w:pPr>
      <w:bookmarkStart w:id="38" w:name="_Toc30526"/>
      <w:r>
        <w:rPr>
          <w:rFonts w:hint="eastAsia"/>
        </w:rPr>
        <w:t>（二）完善财务制度，建立规范的资金管理长效机制</w:t>
      </w:r>
      <w:bookmarkEnd w:id="38"/>
    </w:p>
    <w:p w14:paraId="149A1F66" w14:textId="77777777" w:rsidR="008E58E2" w:rsidRDefault="00772BFC">
      <w:pPr>
        <w:ind w:firstLine="540"/>
      </w:pPr>
      <w:r>
        <w:rPr>
          <w:rFonts w:hint="eastAsia"/>
        </w:rPr>
        <w:t>建议根据财务管理、会计制度等相关规定，按照专款专用、无预算不支出的原则对单位财务进行管理，完善财务制度，规范资金管理。一是加大对项目实施单位财务工作的指导、管理与培训力度，通过组织财务人员上岗及专项培训、加大督查检查力度、制定下发财会操作规范等方法，提高财务工作水平。二是财务应认真贯彻执行上级财政制度和财经纪律，对各类资金专款专用，同时本着精打细算、勤俭节约的原则，对资金的使用进行合理的分配和有效的核算控制；规范资金使用，严格执行合同，及时投入资金，保障项目顺利实施。</w:t>
      </w:r>
    </w:p>
    <w:p w14:paraId="77B3515C" w14:textId="77777777" w:rsidR="008E58E2" w:rsidRDefault="00772BFC">
      <w:pPr>
        <w:pStyle w:val="2"/>
        <w:ind w:firstLine="562"/>
      </w:pPr>
      <w:bookmarkStart w:id="39" w:name="_Toc20899"/>
      <w:r>
        <w:rPr>
          <w:rFonts w:hint="eastAsia"/>
        </w:rPr>
        <w:t>（三）建立规范的项目监管机制</w:t>
      </w:r>
      <w:bookmarkEnd w:id="39"/>
    </w:p>
    <w:p w14:paraId="3545374D" w14:textId="77777777" w:rsidR="008E58E2" w:rsidRDefault="00772BFC">
      <w:pPr>
        <w:ind w:firstLine="540"/>
      </w:pPr>
      <w:r>
        <w:rPr>
          <w:rFonts w:hint="eastAsia"/>
        </w:rPr>
        <w:t>一是建议项目实施单位在后续实施项目时，建立完善项目执行监管及考核制度，并严格落实，项目开始后积极协调，从招投标、组织执行、监管考核等方面落实各项工作，把握时间节点，保证项目开展质量，加</w:t>
      </w:r>
      <w:r>
        <w:rPr>
          <w:rFonts w:hint="eastAsia"/>
        </w:rPr>
        <w:lastRenderedPageBreak/>
        <w:t>快进程，提高资金的使用效率，争取项目目标的尽早实现。</w:t>
      </w:r>
    </w:p>
    <w:p w14:paraId="3B6748A2" w14:textId="77777777" w:rsidR="008E58E2" w:rsidRDefault="00772BFC">
      <w:pPr>
        <w:ind w:firstLine="540"/>
      </w:pPr>
      <w:r>
        <w:rPr>
          <w:rFonts w:hint="eastAsia"/>
        </w:rPr>
        <w:t>项目变更要及时按照相关程序、流程</w:t>
      </w:r>
      <w:proofErr w:type="gramStart"/>
      <w:r>
        <w:rPr>
          <w:rFonts w:hint="eastAsia"/>
        </w:rPr>
        <w:t>作出</w:t>
      </w:r>
      <w:proofErr w:type="gramEnd"/>
      <w:r>
        <w:rPr>
          <w:rFonts w:hint="eastAsia"/>
        </w:rPr>
        <w:t>项目调整，完善调整手续，完善项目档案资料，单独整理存放，保证档案完整性、真实性。</w:t>
      </w:r>
    </w:p>
    <w:p w14:paraId="045A4985" w14:textId="77777777" w:rsidR="008E58E2" w:rsidRDefault="00772BFC">
      <w:pPr>
        <w:ind w:firstLine="540"/>
      </w:pPr>
      <w:r>
        <w:rPr>
          <w:rFonts w:hint="eastAsia"/>
        </w:rPr>
        <w:t>二是为提高项目管理水平，达到互利双赢的效果，能够充分利用合同条款对供应商进行有效管理及控制，建议项目单位在签订合同时，合同签订及审批人员根据《合同法》等相关法律法规的要求，对合同内容进行周密考虑及审查，以保证合同主要条款的合法性、严密性及可行性。</w:t>
      </w:r>
    </w:p>
    <w:p w14:paraId="16C31E8E" w14:textId="77777777" w:rsidR="008E58E2" w:rsidRDefault="00772BFC">
      <w:pPr>
        <w:ind w:firstLine="540"/>
      </w:pPr>
      <w:r>
        <w:rPr>
          <w:rFonts w:hint="eastAsia"/>
        </w:rPr>
        <w:t>严把合同“起草关”。强化相关工作人员合同风险意识，提高人员法律素质与责任感，有效规避合同法律风险；做好合同起草准备，严格对合同相对人的主体资格、资信情况、履约能力的确认，严格依据合同谈判结果或标书确定合同内容。</w:t>
      </w:r>
    </w:p>
    <w:p w14:paraId="5677D9A5" w14:textId="77777777" w:rsidR="008E58E2" w:rsidRDefault="00772BFC">
      <w:pPr>
        <w:ind w:firstLine="540"/>
      </w:pPr>
      <w:r>
        <w:rPr>
          <w:rFonts w:hint="eastAsia"/>
        </w:rPr>
        <w:t>严把合同“审查关”。严格对合同初稿进行审核把关，依照合同条款内容、合同附件清单等合同事项，按要求分类审查、分别把关，做到合法合</w:t>
      </w:r>
      <w:proofErr w:type="gramStart"/>
      <w:r>
        <w:rPr>
          <w:rFonts w:hint="eastAsia"/>
        </w:rPr>
        <w:t>规</w:t>
      </w:r>
      <w:proofErr w:type="gramEnd"/>
      <w:r>
        <w:rPr>
          <w:rFonts w:hint="eastAsia"/>
        </w:rPr>
        <w:t>；严格审查意见落实，对合同内容进行及时的修订和完善，并形成正式合同文书，保证正式合同的权威性、严肃性。</w:t>
      </w:r>
    </w:p>
    <w:p w14:paraId="4EE56149" w14:textId="77777777" w:rsidR="008E58E2" w:rsidRDefault="00772BFC">
      <w:pPr>
        <w:ind w:firstLine="540"/>
      </w:pPr>
      <w:r>
        <w:rPr>
          <w:rFonts w:hint="eastAsia"/>
        </w:rPr>
        <w:t>严把合同“签订关”。严格按照合同订立程序，履行合同的签字盖章手续，确保合同依法成立并对双方具有法律约束力；加强合同的专门管理，建立合同管理台帐，对合同实施动态管理。</w:t>
      </w:r>
    </w:p>
    <w:p w14:paraId="50D21F43" w14:textId="77777777" w:rsidR="008E58E2" w:rsidRDefault="00772BFC">
      <w:pPr>
        <w:ind w:firstLine="540"/>
      </w:pPr>
      <w:r>
        <w:rPr>
          <w:rFonts w:hint="eastAsia"/>
        </w:rPr>
        <w:t>严把合同“履约关”。增强合同履约过程管理控制意识，建立合同管理台账，注重合同签订、履行等相关信息的收集和传递；加强合同的执行、变更、解除管理，适时</w:t>
      </w:r>
      <w:proofErr w:type="gramStart"/>
      <w:r>
        <w:rPr>
          <w:rFonts w:hint="eastAsia"/>
        </w:rPr>
        <w:t>记载因</w:t>
      </w:r>
      <w:proofErr w:type="gramEnd"/>
      <w:r>
        <w:rPr>
          <w:rFonts w:hint="eastAsia"/>
        </w:rPr>
        <w:t>不可抗拒原因或人为因素不能履约情况，并运用撤销、变更权来保护自身合法权益。</w:t>
      </w:r>
    </w:p>
    <w:p w14:paraId="28061CD7" w14:textId="77777777" w:rsidR="008E58E2" w:rsidRDefault="00772BFC">
      <w:pPr>
        <w:ind w:firstLine="540"/>
      </w:pPr>
      <w:r>
        <w:rPr>
          <w:rFonts w:hint="eastAsia"/>
        </w:rPr>
        <w:t>三是规范竣工验收流程，项目实施单位建立完善竣工验收管理制度，并严格按照相关竣工验收标准组织验收，采用目视观察、仪器测量等多种方式收集相关数据，形成规范验收单据或验收报告，保证竣工验收结果的科学性。</w:t>
      </w:r>
    </w:p>
    <w:p w14:paraId="0D8D333C" w14:textId="77777777" w:rsidR="008E58E2" w:rsidRDefault="00772BFC">
      <w:pPr>
        <w:pStyle w:val="2"/>
        <w:ind w:firstLine="562"/>
      </w:pPr>
      <w:bookmarkStart w:id="40" w:name="_Toc30953"/>
      <w:r>
        <w:rPr>
          <w:rFonts w:hint="eastAsia"/>
        </w:rPr>
        <w:lastRenderedPageBreak/>
        <w:t>（四）规范项目验收评审</w:t>
      </w:r>
      <w:bookmarkEnd w:id="40"/>
    </w:p>
    <w:p w14:paraId="7CF33113" w14:textId="77777777" w:rsidR="008E58E2" w:rsidRDefault="00772BFC">
      <w:pPr>
        <w:ind w:firstLine="540"/>
      </w:pPr>
      <w:r>
        <w:rPr>
          <w:rFonts w:hAnsi="宋体" w:hint="eastAsia"/>
        </w:rPr>
        <w:t>规范项目验收评审。验收评审</w:t>
      </w:r>
      <w:r>
        <w:rPr>
          <w:rFonts w:hAnsi="宋体"/>
        </w:rPr>
        <w:t>是</w:t>
      </w:r>
      <w:r>
        <w:rPr>
          <w:rFonts w:hAnsi="宋体" w:hint="eastAsia"/>
        </w:rPr>
        <w:t>对经济活动的综合性监督，尤其在相关工程建设中发挥着重要的作用，</w:t>
      </w:r>
      <w:r>
        <w:rPr>
          <w:rFonts w:hint="eastAsia"/>
        </w:rPr>
        <w:t>在后续开展类似项目时，为保障审计数据的科学性、准确性，建议项目实施单位明确项目责任人，制定项目验收评审相关管理制度，强制项目责任人在施工验收完成后及时提报区财政投资评审中心，申请对该项目进行财政评审。</w:t>
      </w:r>
    </w:p>
    <w:p w14:paraId="18AEB385" w14:textId="77777777" w:rsidR="008E58E2" w:rsidRDefault="00772BFC">
      <w:pPr>
        <w:pStyle w:val="2"/>
        <w:ind w:firstLine="562"/>
      </w:pPr>
      <w:bookmarkStart w:id="41" w:name="_Toc30310"/>
      <w:r>
        <w:rPr>
          <w:rFonts w:hint="eastAsia"/>
        </w:rPr>
        <w:t>（五）改造设计应具有整体思维和前瞻思维</w:t>
      </w:r>
      <w:bookmarkEnd w:id="41"/>
    </w:p>
    <w:p w14:paraId="0129B47C" w14:textId="77777777" w:rsidR="008E58E2" w:rsidRDefault="00772BFC">
      <w:pPr>
        <w:ind w:firstLine="540"/>
        <w:rPr>
          <w:rFonts w:hAnsi="宋体"/>
        </w:rPr>
      </w:pPr>
      <w:r>
        <w:rPr>
          <w:rFonts w:hAnsi="宋体" w:hint="eastAsia"/>
        </w:rPr>
        <w:t>在维修改造项目设计阶段，应通盘考虑维修改造工程整体，运用整体思维和前瞻思维，充分调动各类资源和资金对修缮项目进行全面整修，避免再次改造时的重复投入，有效节约人力、物力和财力。</w:t>
      </w:r>
    </w:p>
    <w:sectPr w:rsidR="008E58E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3C749CA" w14:textId="77777777" w:rsidR="00FA7A97" w:rsidRDefault="00FA7A97">
      <w:pPr>
        <w:spacing w:line="240" w:lineRule="auto"/>
        <w:ind w:firstLine="540"/>
      </w:pPr>
      <w:r>
        <w:separator/>
      </w:r>
    </w:p>
  </w:endnote>
  <w:endnote w:type="continuationSeparator" w:id="0">
    <w:p w14:paraId="4223D472" w14:textId="77777777" w:rsidR="00FA7A97" w:rsidRDefault="00FA7A97">
      <w:pPr>
        <w:spacing w:line="240" w:lineRule="auto"/>
        <w:ind w:firstLine="5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幼圆">
    <w:panose1 w:val="0201050906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673C6E6" w14:textId="77777777" w:rsidR="00250068" w:rsidRDefault="00250068">
    <w:pPr>
      <w:pStyle w:val="a3"/>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10038393"/>
      <w:docPartObj>
        <w:docPartGallery w:val="Page Numbers (Bottom of Page)"/>
        <w:docPartUnique/>
      </w:docPartObj>
    </w:sdtPr>
    <w:sdtEndPr>
      <w:rPr>
        <w:sz w:val="24"/>
        <w:szCs w:val="24"/>
      </w:rPr>
    </w:sdtEndPr>
    <w:sdtContent>
      <w:p w14:paraId="648F4AA9" w14:textId="2DFAAC0C" w:rsidR="008E58E2" w:rsidRPr="005C740A" w:rsidRDefault="005C740A" w:rsidP="005C740A">
        <w:pPr>
          <w:pStyle w:val="a3"/>
          <w:tabs>
            <w:tab w:val="clear" w:pos="8306"/>
            <w:tab w:val="right" w:pos="8299"/>
          </w:tabs>
          <w:ind w:firstLineChars="0" w:firstLine="0"/>
          <w:jc w:val="center"/>
          <w:rPr>
            <w:sz w:val="24"/>
            <w:szCs w:val="24"/>
          </w:rPr>
        </w:pPr>
        <w:r w:rsidRPr="005C740A">
          <w:rPr>
            <w:sz w:val="24"/>
            <w:szCs w:val="24"/>
          </w:rPr>
          <w:fldChar w:fldCharType="begin"/>
        </w:r>
        <w:r w:rsidRPr="005C740A">
          <w:rPr>
            <w:sz w:val="24"/>
            <w:szCs w:val="24"/>
          </w:rPr>
          <w:instrText>PAGE   \* MERGEFORMAT</w:instrText>
        </w:r>
        <w:r w:rsidRPr="005C740A">
          <w:rPr>
            <w:sz w:val="24"/>
            <w:szCs w:val="24"/>
          </w:rPr>
          <w:fldChar w:fldCharType="separate"/>
        </w:r>
        <w:r w:rsidRPr="005C740A">
          <w:rPr>
            <w:sz w:val="24"/>
            <w:szCs w:val="24"/>
            <w:lang w:val="zh-CN"/>
          </w:rPr>
          <w:t>2</w:t>
        </w:r>
        <w:r w:rsidRPr="005C740A">
          <w:rPr>
            <w:sz w:val="24"/>
            <w:szCs w:val="24"/>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36A62F2" w14:textId="77777777" w:rsidR="00250068" w:rsidRDefault="00250068">
    <w:pPr>
      <w:pStyle w:val="a3"/>
      <w:ind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8046F7E" w14:textId="77777777" w:rsidR="00FA7A97" w:rsidRDefault="00FA7A97">
      <w:pPr>
        <w:spacing w:line="240" w:lineRule="auto"/>
        <w:ind w:firstLine="540"/>
      </w:pPr>
      <w:r>
        <w:separator/>
      </w:r>
    </w:p>
  </w:footnote>
  <w:footnote w:type="continuationSeparator" w:id="0">
    <w:p w14:paraId="3BED04F4" w14:textId="77777777" w:rsidR="00FA7A97" w:rsidRDefault="00FA7A97">
      <w:pPr>
        <w:spacing w:line="240" w:lineRule="auto"/>
        <w:ind w:firstLine="54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4D28FC8" w14:textId="77777777" w:rsidR="00250068" w:rsidRDefault="00250068">
    <w:pPr>
      <w:pStyle w:val="a5"/>
      <w:ind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EC018D9" w14:textId="3AB431E0" w:rsidR="008E58E2" w:rsidRDefault="008E58E2" w:rsidP="00477191">
    <w:pPr>
      <w:ind w:firstLine="542"/>
      <w:rPr>
        <w:b/>
        <w:i/>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8467124" w14:textId="77777777" w:rsidR="00250068" w:rsidRDefault="00250068">
    <w:pPr>
      <w:pStyle w:val="a5"/>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5"/>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E58E2"/>
    <w:rsid w:val="002421BF"/>
    <w:rsid w:val="00250068"/>
    <w:rsid w:val="00477191"/>
    <w:rsid w:val="005C740A"/>
    <w:rsid w:val="005D55D2"/>
    <w:rsid w:val="00607827"/>
    <w:rsid w:val="00772BFC"/>
    <w:rsid w:val="00823575"/>
    <w:rsid w:val="008E58E2"/>
    <w:rsid w:val="00AC30B7"/>
    <w:rsid w:val="00D00CF9"/>
    <w:rsid w:val="00DF0EF7"/>
    <w:rsid w:val="00F91555"/>
    <w:rsid w:val="00FA7A97"/>
    <w:rsid w:val="5F5838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78BF3E5"/>
  <w15:docId w15:val="{88F5F270-4D0B-4024-BCC4-48EBFC6D5A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2" w:uiPriority="39"/>
    <w:lsdException w:name="header" w:uiPriority="99"/>
    <w:lsdException w:name="footer" w:uiPriority="99"/>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adjustRightInd w:val="0"/>
      <w:snapToGrid w:val="0"/>
      <w:spacing w:line="360" w:lineRule="auto"/>
      <w:ind w:firstLineChars="200" w:firstLine="200"/>
      <w:jc w:val="both"/>
    </w:pPr>
    <w:rPr>
      <w:rFonts w:ascii="宋体" w:hAnsi="Calibri" w:cs="Calibri"/>
      <w:color w:val="000000"/>
      <w:sz w:val="27"/>
      <w:szCs w:val="22"/>
    </w:rPr>
  </w:style>
  <w:style w:type="paragraph" w:styleId="1">
    <w:name w:val="heading 1"/>
    <w:basedOn w:val="a"/>
    <w:next w:val="a"/>
    <w:link w:val="10"/>
    <w:qFormat/>
    <w:rsid w:val="00AC30B7"/>
    <w:pPr>
      <w:outlineLvl w:val="0"/>
    </w:pPr>
    <w:rPr>
      <w:rFonts w:ascii="黑体" w:eastAsia="黑体" w:hAnsi="黑体" w:cs="黑体"/>
      <w:sz w:val="30"/>
      <w:szCs w:val="24"/>
    </w:rPr>
  </w:style>
  <w:style w:type="paragraph" w:styleId="2">
    <w:name w:val="heading 2"/>
    <w:basedOn w:val="a"/>
    <w:next w:val="a"/>
    <w:qFormat/>
    <w:pPr>
      <w:outlineLvl w:val="1"/>
    </w:pPr>
    <w:rPr>
      <w:rFonts w:hAnsi="宋体" w:cs="宋体"/>
      <w:b/>
      <w:sz w:val="28"/>
      <w:szCs w:val="24"/>
      <w:shd w:val="clear" w:color="auto" w:fill="FFFFFF"/>
    </w:rPr>
  </w:style>
  <w:style w:type="paragraph" w:styleId="3">
    <w:name w:val="heading 3"/>
    <w:basedOn w:val="a"/>
    <w:next w:val="a"/>
    <w:qFormat/>
    <w:pPr>
      <w:keepNext/>
      <w:keepLines/>
      <w:outlineLvl w:val="2"/>
    </w:pPr>
    <w:rPr>
      <w:rFonts w:ascii="楷体" w:eastAsia="楷体" w:hAnsi="楷体" w:cs="楷体"/>
      <w:b/>
      <w:sz w:val="28"/>
      <w:szCs w:val="32"/>
    </w:rPr>
  </w:style>
  <w:style w:type="paragraph" w:styleId="4">
    <w:name w:val="heading 4"/>
    <w:basedOn w:val="3"/>
    <w:next w:val="a"/>
    <w:qFormat/>
    <w:pPr>
      <w:outlineLvl w:val="3"/>
    </w:pPr>
    <w:rPr>
      <w:rFonts w:eastAsia="宋体"/>
      <w:sz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pPr>
      <w:tabs>
        <w:tab w:val="center" w:pos="4153"/>
        <w:tab w:val="right" w:pos="8306"/>
      </w:tabs>
      <w:jc w:val="left"/>
    </w:pPr>
    <w:rPr>
      <w:sz w:val="18"/>
      <w:szCs w:val="18"/>
    </w:rPr>
  </w:style>
  <w:style w:type="paragraph" w:styleId="a5">
    <w:name w:val="header"/>
    <w:basedOn w:val="a"/>
    <w:uiPriority w:val="99"/>
    <w:pPr>
      <w:pBdr>
        <w:bottom w:val="single" w:sz="6" w:space="1" w:color="000000"/>
      </w:pBdr>
      <w:tabs>
        <w:tab w:val="center" w:pos="4153"/>
        <w:tab w:val="right" w:pos="8306"/>
      </w:tabs>
      <w:jc w:val="center"/>
    </w:pPr>
    <w:rPr>
      <w:sz w:val="18"/>
      <w:szCs w:val="18"/>
    </w:rPr>
  </w:style>
  <w:style w:type="paragraph" w:styleId="TOC2">
    <w:name w:val="toc 2"/>
    <w:basedOn w:val="a"/>
    <w:next w:val="a"/>
    <w:uiPriority w:val="39"/>
    <w:pPr>
      <w:ind w:left="270"/>
      <w:jc w:val="left"/>
    </w:pPr>
    <w:rPr>
      <w:rFonts w:ascii="Calibri"/>
      <w:smallCaps/>
      <w:sz w:val="20"/>
      <w:szCs w:val="20"/>
    </w:rPr>
  </w:style>
  <w:style w:type="character" w:customStyle="1" w:styleId="10">
    <w:name w:val="标题 1 字符"/>
    <w:link w:val="1"/>
    <w:rsid w:val="00AC30B7"/>
    <w:rPr>
      <w:rFonts w:ascii="黑体" w:eastAsia="黑体" w:hAnsi="黑体" w:cs="黑体"/>
      <w:color w:val="000000"/>
      <w:sz w:val="30"/>
      <w:szCs w:val="24"/>
    </w:rPr>
  </w:style>
  <w:style w:type="paragraph" w:customStyle="1" w:styleId="a6">
    <w:name w:val="评价报告正文"/>
    <w:basedOn w:val="a7"/>
    <w:qFormat/>
    <w:pPr>
      <w:ind w:firstLine="200"/>
    </w:pPr>
    <w:rPr>
      <w:rFonts w:ascii="宋体" w:eastAsia="宋体" w:hAnsi="宋体" w:cs="宋体"/>
      <w:kern w:val="1"/>
      <w:sz w:val="27"/>
      <w:szCs w:val="24"/>
    </w:rPr>
  </w:style>
  <w:style w:type="paragraph" w:customStyle="1" w:styleId="a7">
    <w:name w:val="正文（评价报告）"/>
    <w:basedOn w:val="a"/>
    <w:qFormat/>
    <w:pPr>
      <w:ind w:firstLine="640"/>
    </w:pPr>
    <w:rPr>
      <w:rFonts w:ascii="仿宋" w:eastAsia="仿宋" w:hAnsi="仿宋" w:cs="仿宋"/>
      <w:sz w:val="32"/>
      <w:szCs w:val="20"/>
    </w:rPr>
  </w:style>
  <w:style w:type="character" w:customStyle="1" w:styleId="a4">
    <w:name w:val="页脚 字符"/>
    <w:basedOn w:val="a0"/>
    <w:link w:val="a3"/>
    <w:uiPriority w:val="99"/>
    <w:rsid w:val="005C740A"/>
    <w:rPr>
      <w:rFonts w:ascii="宋体" w:hAnsi="Calibri" w:cs="Calibr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2.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23</Pages>
  <Words>2167</Words>
  <Characters>12356</Characters>
  <Application>Microsoft Office Word</Application>
  <DocSecurity>0</DocSecurity>
  <Lines>102</Lines>
  <Paragraphs>28</Paragraphs>
  <ScaleCrop>false</ScaleCrop>
  <Company/>
  <LinksUpToDate>false</LinksUpToDate>
  <CharactersWithSpaces>14495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PC</cp:lastModifiedBy>
  <cp:revision>9</cp:revision>
  <dcterms:created xsi:type="dcterms:W3CDTF">2020-12-14T02:23:00Z</dcterms:created>
  <dcterms:modified xsi:type="dcterms:W3CDTF">2020-12-16T06:37:00Z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