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18"/>
        <w:ind w:right="84" w:firstLine="0" w:firstLineChars="0"/>
        <w:jc w:val="center"/>
        <w:rPr>
          <w:rFonts w:ascii="方正小标宋简体" w:hAnsi="仿宋_GB2312" w:eastAsia="方正小标宋简体" w:cs="仿宋_GB2312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sz w:val="44"/>
          <w:szCs w:val="44"/>
        </w:rPr>
        <w:t>关于开展2020年全省养老院服务质量建设专项行动的通知</w:t>
      </w:r>
    </w:p>
    <w:p>
      <w:pPr>
        <w:pStyle w:val="2"/>
        <w:spacing w:line="360" w:lineRule="auto"/>
        <w:ind w:left="107" w:right="257"/>
        <w:jc w:val="center"/>
      </w:pPr>
      <w:r>
        <w:rPr>
          <w:rFonts w:hint="eastAsia" w:hAnsi="黑体"/>
        </w:rPr>
        <w:t>鲁民〔20</w:t>
      </w:r>
      <w:r>
        <w:rPr>
          <w:rFonts w:hAnsi="黑体"/>
        </w:rPr>
        <w:t>20</w:t>
      </w:r>
      <w:r>
        <w:rPr>
          <w:rFonts w:hint="eastAsia" w:hAnsi="黑体"/>
        </w:rPr>
        <w:t>〕</w:t>
      </w:r>
      <w:r>
        <w:rPr>
          <w:rFonts w:hAnsi="黑体"/>
        </w:rPr>
        <w:t>19</w:t>
      </w:r>
      <w:r>
        <w:rPr>
          <w:rFonts w:hint="eastAsia" w:hAnsi="黑体"/>
        </w:rPr>
        <w:t>号</w:t>
      </w:r>
    </w:p>
    <w:p>
      <w:pPr>
        <w:pStyle w:val="2"/>
        <w:spacing w:line="360" w:lineRule="auto"/>
        <w:ind w:left="107" w:right="84"/>
        <w:jc w:val="both"/>
        <w:rPr>
          <w:rFonts w:hint="eastAsia"/>
        </w:rPr>
      </w:pPr>
      <w:r>
        <w:rPr>
          <w:rFonts w:hint="eastAsia"/>
        </w:rPr>
        <w:t>各市民政局、住房和城乡建设局、卫生健康委、应急管理局、市场监管局、消防救援支队：</w:t>
      </w:r>
    </w:p>
    <w:p>
      <w:pPr>
        <w:pStyle w:val="2"/>
        <w:spacing w:line="360" w:lineRule="auto"/>
        <w:ind w:left="107" w:right="84" w:firstLine="652" w:firstLineChars="200"/>
        <w:jc w:val="both"/>
        <w:rPr>
          <w:rFonts w:hint="eastAsia"/>
        </w:rPr>
      </w:pPr>
      <w:r>
        <w:rPr>
          <w:rFonts w:hint="eastAsia"/>
          <w:spacing w:val="3"/>
        </w:rPr>
        <w:t>为深入贯彻落实习近平总书记关于提高养老院服务质量的</w:t>
      </w:r>
      <w:r>
        <w:rPr>
          <w:rFonts w:hint="eastAsia"/>
          <w:spacing w:val="-11"/>
        </w:rPr>
        <w:t>重要指示精神，根据民政部等五部门《关于做好</w:t>
      </w:r>
      <w:r>
        <w:rPr>
          <w:rFonts w:hint="eastAsia"/>
        </w:rPr>
        <w:t>2020</w:t>
      </w:r>
      <w:r>
        <w:rPr>
          <w:rFonts w:hint="eastAsia"/>
          <w:spacing w:val="-18"/>
        </w:rPr>
        <w:t>年养老院</w:t>
      </w:r>
      <w:r>
        <w:rPr>
          <w:rFonts w:hint="eastAsia"/>
          <w:spacing w:val="-11"/>
        </w:rPr>
        <w:t>服务质量建设专项行动工作的通知》</w:t>
      </w:r>
      <w:r>
        <w:rPr>
          <w:rFonts w:hint="eastAsia"/>
          <w:spacing w:val="-1"/>
        </w:rPr>
        <w:t>（民发〔2020〕4</w:t>
      </w:r>
      <w:r>
        <w:rPr>
          <w:rFonts w:hint="eastAsia"/>
        </w:rPr>
        <w:t>6</w:t>
      </w:r>
      <w:r>
        <w:rPr>
          <w:rFonts w:hint="eastAsia"/>
          <w:spacing w:val="-1"/>
        </w:rPr>
        <w:t>号</w:t>
      </w:r>
      <w:r>
        <w:rPr>
          <w:rFonts w:hint="eastAsia"/>
          <w:spacing w:val="-161"/>
        </w:rPr>
        <w:t>）</w:t>
      </w:r>
      <w:r>
        <w:rPr>
          <w:rFonts w:hint="eastAsia"/>
        </w:rPr>
        <w:t>，现</w:t>
      </w:r>
      <w:r>
        <w:rPr>
          <w:rFonts w:hint="eastAsia"/>
          <w:spacing w:val="-21"/>
        </w:rPr>
        <w:t>就开展</w:t>
      </w:r>
      <w:r>
        <w:rPr>
          <w:rFonts w:hint="eastAsia"/>
        </w:rPr>
        <w:t>2020</w:t>
      </w:r>
      <w:r>
        <w:rPr>
          <w:rFonts w:hint="eastAsia"/>
          <w:spacing w:val="-10"/>
        </w:rPr>
        <w:t>年全省养老院服务质量建设专项行动通知如下：</w:t>
      </w:r>
    </w:p>
    <w:p>
      <w:pPr>
        <w:pStyle w:val="2"/>
        <w:spacing w:before="56" w:line="360" w:lineRule="auto"/>
        <w:ind w:left="748" w:right="84" w:firstLine="640" w:firstLineChars="200"/>
        <w:jc w:val="both"/>
        <w:rPr>
          <w:rFonts w:hint="eastAsia" w:ascii="黑体" w:hAnsi="仿宋_GB2312" w:eastAsia="黑体" w:cs="仿宋_GB2312"/>
        </w:rPr>
      </w:pPr>
      <w:r>
        <w:rPr>
          <w:rFonts w:hint="eastAsia" w:ascii="黑体" w:hAnsi="黑体" w:eastAsia="黑体" w:cs="仿宋_GB2312"/>
        </w:rPr>
        <w:t>一、目标要求</w:t>
      </w:r>
    </w:p>
    <w:p>
      <w:pPr>
        <w:pStyle w:val="2"/>
        <w:spacing w:before="180" w:line="360" w:lineRule="auto"/>
        <w:ind w:left="107" w:right="84" w:firstLine="652" w:firstLineChars="200"/>
        <w:jc w:val="both"/>
        <w:rPr>
          <w:rFonts w:hint="eastAsia"/>
        </w:rPr>
      </w:pPr>
      <w:r>
        <w:rPr>
          <w:rFonts w:hint="eastAsia"/>
          <w:spacing w:val="3"/>
        </w:rPr>
        <w:t>以习近平新时代中国特色社会主义思想为指导，以养老机</w:t>
      </w:r>
      <w:r>
        <w:rPr>
          <w:rFonts w:hint="eastAsia"/>
          <w:spacing w:val="-16"/>
        </w:rPr>
        <w:t>构老年人安享幸福晚年为目标，加强行业监管，推动强基达标，</w:t>
      </w:r>
      <w:r>
        <w:rPr>
          <w:rFonts w:hint="eastAsia"/>
          <w:spacing w:val="-26"/>
        </w:rPr>
        <w:t>全面提质增效，加快建立养老机构高质量发展长效机制。到</w:t>
      </w:r>
      <w:r>
        <w:rPr>
          <w:rFonts w:hint="eastAsia"/>
        </w:rPr>
        <w:t>2020年底，实现以下目标：</w:t>
      </w:r>
    </w:p>
    <w:p>
      <w:pPr>
        <w:pStyle w:val="2"/>
        <w:spacing w:line="360" w:lineRule="auto"/>
        <w:ind w:left="-7" w:right="84" w:firstLine="636"/>
        <w:jc w:val="both"/>
        <w:rPr>
          <w:rFonts w:hint="eastAsia"/>
        </w:rPr>
      </w:pPr>
      <w:r>
        <w:rPr>
          <w:rFonts w:hint="eastAsia" w:ascii="Arial Unicode MS" w:hAnsi="Arial Unicode MS" w:eastAsia="Arial Unicode MS" w:cs="Arial Unicode MS"/>
          <w:spacing w:val="-1"/>
        </w:rPr>
        <w:t>——</w:t>
      </w:r>
      <w:r>
        <w:rPr>
          <w:rFonts w:hint="eastAsia"/>
          <w:spacing w:val="-13"/>
        </w:rPr>
        <w:t>特困人员供养服务设施</w:t>
      </w:r>
      <w:r>
        <w:rPr>
          <w:rFonts w:hint="eastAsia"/>
          <w:spacing w:val="-1"/>
        </w:rPr>
        <w:t>（敬老院</w:t>
      </w:r>
      <w:r>
        <w:rPr>
          <w:rFonts w:hint="eastAsia"/>
          <w:spacing w:val="-117"/>
        </w:rPr>
        <w:t>）</w:t>
      </w:r>
      <w:r>
        <w:rPr>
          <w:rFonts w:hint="eastAsia"/>
          <w:spacing w:val="-1"/>
        </w:rPr>
        <w:t>改造提升成效显现，</w:t>
      </w:r>
      <w:r>
        <w:rPr>
          <w:rFonts w:hint="eastAsia"/>
          <w:spacing w:val="-2"/>
        </w:rPr>
        <w:t>护理功能明显增强，新建改造护理型敬老院</w:t>
      </w:r>
      <w:r>
        <w:rPr>
          <w:rFonts w:hint="eastAsia"/>
        </w:rPr>
        <w:t>120</w:t>
      </w:r>
      <w:r>
        <w:rPr>
          <w:rFonts w:hint="eastAsia"/>
          <w:spacing w:val="-11"/>
        </w:rPr>
        <w:t>处、床位</w:t>
      </w:r>
      <w:r>
        <w:rPr>
          <w:rFonts w:hint="eastAsia"/>
        </w:rPr>
        <w:t>1.1</w:t>
      </w:r>
      <w:r>
        <w:rPr>
          <w:rFonts w:hint="eastAsia"/>
          <w:position w:val="1"/>
        </w:rPr>
        <w:t>万张，特困失能老年人集中供养率达到</w:t>
      </w:r>
      <w:r>
        <w:rPr>
          <w:rFonts w:hint="eastAsia"/>
          <w:spacing w:val="4"/>
          <w:position w:val="1"/>
        </w:rPr>
        <w:t>50</w:t>
      </w:r>
      <w:r>
        <w:drawing>
          <wp:inline distT="0" distB="0" distL="0" distR="0">
            <wp:extent cx="114300" cy="198120"/>
            <wp:effectExtent l="0" t="0" r="0" b="11430"/>
            <wp:docPr id="12" name="图片 12" descr="C:\Users\ADMINI~1\AppData\Local\Temp\ksohtml15688\wps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C:\Users\ADMINI~1\AppData\Local\Temp\ksohtml15688\wps6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position w:val="1"/>
        </w:rPr>
        <w:t>。</w:t>
      </w:r>
    </w:p>
    <w:p>
      <w:pPr>
        <w:pStyle w:val="2"/>
        <w:spacing w:line="360" w:lineRule="auto"/>
        <w:ind w:left="-7" w:right="84" w:firstLine="640"/>
        <w:jc w:val="both"/>
        <w:rPr>
          <w:rFonts w:hint="eastAsia"/>
        </w:rPr>
      </w:pPr>
      <w:r>
        <w:drawing>
          <wp:inline distT="0" distB="0" distL="0" distR="0">
            <wp:extent cx="114300" cy="198120"/>
            <wp:effectExtent l="0" t="0" r="0" b="11430"/>
            <wp:docPr id="11" name="图片 11" descr="C:\Users\ADMINI~1\AppData\Local\Temp\ksohtml15688\wps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C:\Users\ADMINI~1\AppData\Local\Temp\ksohtml15688\wps7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Arial Unicode MS" w:hAnsi="Arial Unicode MS" w:eastAsia="Arial Unicode MS" w:cs="Arial Unicode MS"/>
        </w:rPr>
        <w:t>——</w:t>
      </w:r>
      <w:r>
        <w:rPr>
          <w:rFonts w:hint="eastAsia"/>
        </w:rPr>
        <w:t>养老机构标准化水平明显提升，70以上养老机构符合</w:t>
      </w:r>
      <w:r>
        <w:rPr>
          <w:rFonts w:hint="eastAsia"/>
          <w:spacing w:val="-16"/>
        </w:rPr>
        <w:t>《养老机构服务安全基本规范》，备案养老机构等级评定率达到</w:t>
      </w:r>
      <w:r>
        <w:rPr>
          <w:rFonts w:hint="eastAsia"/>
          <w:spacing w:val="2"/>
          <w:position w:val="1"/>
        </w:rPr>
        <w:t>100</w:t>
      </w:r>
      <w:r>
        <w:drawing>
          <wp:inline distT="0" distB="0" distL="0" distR="0">
            <wp:extent cx="114300" cy="198120"/>
            <wp:effectExtent l="0" t="0" r="0" b="11430"/>
            <wp:docPr id="10" name="图片 10" descr="C:\Users\ADMINI~1\AppData\Local\Temp\ksohtml15688\wps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:\Users\ADMINI~1\AppData\Local\Temp\ksohtml15688\wps8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position w:val="1"/>
        </w:rPr>
        <w:t>。</w:t>
      </w:r>
    </w:p>
    <w:p>
      <w:pPr>
        <w:pStyle w:val="2"/>
        <w:spacing w:line="360" w:lineRule="auto"/>
        <w:ind w:left="-7" w:right="84" w:firstLine="636"/>
        <w:jc w:val="both"/>
        <w:rPr>
          <w:rFonts w:hint="eastAsia"/>
        </w:rPr>
      </w:pPr>
      <w:r>
        <w:rPr>
          <w:rFonts w:hint="eastAsia" w:ascii="Arial Unicode MS" w:hAnsi="Arial Unicode MS" w:eastAsia="Arial Unicode MS" w:cs="Arial Unicode MS"/>
          <w:spacing w:val="-1"/>
        </w:rPr>
        <w:t>——</w:t>
      </w:r>
      <w:r>
        <w:rPr>
          <w:rFonts w:hint="eastAsia"/>
          <w:spacing w:val="-14"/>
        </w:rPr>
        <w:t>养老服务队伍专业化能力持续加强，各级培训养老院院</w:t>
      </w:r>
      <w:r>
        <w:rPr>
          <w:rFonts w:hint="eastAsia"/>
          <w:spacing w:val="55"/>
        </w:rPr>
        <w:t>长</w:t>
      </w:r>
      <w:r>
        <w:rPr>
          <w:rFonts w:hint="eastAsia"/>
        </w:rPr>
        <w:t>2000</w:t>
      </w:r>
      <w:r>
        <w:rPr>
          <w:rFonts w:hint="eastAsia"/>
          <w:spacing w:val="-32"/>
        </w:rPr>
        <w:t>人、养老护理员</w:t>
      </w:r>
      <w:r>
        <w:rPr>
          <w:rFonts w:hint="eastAsia"/>
        </w:rPr>
        <w:t>7</w:t>
      </w:r>
      <w:r>
        <w:rPr>
          <w:rFonts w:hint="eastAsia"/>
          <w:spacing w:val="-23"/>
        </w:rPr>
        <w:t>万人、专兼职老年社会工作者</w:t>
      </w:r>
      <w:r>
        <w:rPr>
          <w:rFonts w:hint="eastAsia"/>
        </w:rPr>
        <w:t>3700</w:t>
      </w:r>
      <w:r>
        <w:rPr>
          <w:rFonts w:hint="eastAsia"/>
          <w:spacing w:val="-39"/>
        </w:rPr>
        <w:t>人。</w:t>
      </w:r>
    </w:p>
    <w:p>
      <w:pPr>
        <w:pStyle w:val="2"/>
        <w:spacing w:before="59" w:line="360" w:lineRule="auto"/>
        <w:ind w:left="-7" w:right="84" w:firstLine="640"/>
        <w:jc w:val="both"/>
        <w:rPr>
          <w:rFonts w:hint="eastAsia"/>
        </w:rPr>
      </w:pPr>
      <w:r>
        <w:rPr>
          <w:rFonts w:hint="eastAsia" w:ascii="Arial Unicode MS" w:hAnsi="Arial Unicode MS" w:eastAsia="Arial Unicode MS" w:cs="Arial Unicode MS"/>
        </w:rPr>
        <w:t>——</w:t>
      </w:r>
      <w:r>
        <w:rPr>
          <w:rFonts w:hint="eastAsia"/>
        </w:rPr>
        <w:t>各司其职、协同配合的跨部门综合监管机制全面建立，行业监管水平进一步提高。</w:t>
      </w:r>
    </w:p>
    <w:p>
      <w:pPr>
        <w:pStyle w:val="2"/>
        <w:spacing w:before="63" w:line="360" w:lineRule="auto"/>
        <w:ind w:left="748" w:right="84" w:firstLine="640" w:firstLineChars="200"/>
        <w:jc w:val="both"/>
        <w:rPr>
          <w:rFonts w:hint="eastAsia" w:ascii="黑体" w:hAnsi="仿宋_GB2312" w:eastAsia="黑体" w:cs="仿宋_GB2312"/>
        </w:rPr>
      </w:pPr>
      <w:r>
        <w:rPr>
          <w:rFonts w:hint="eastAsia" w:ascii="黑体" w:hAnsi="黑体" w:eastAsia="黑体" w:cs="仿宋_GB2312"/>
        </w:rPr>
        <w:t>二、重点任务</w:t>
      </w:r>
    </w:p>
    <w:p>
      <w:pPr>
        <w:pStyle w:val="2"/>
        <w:spacing w:before="181" w:line="360" w:lineRule="auto"/>
        <w:ind w:left="107" w:right="84" w:firstLine="652" w:firstLineChars="200"/>
        <w:jc w:val="both"/>
        <w:rPr>
          <w:rFonts w:hint="eastAsia" w:ascii="楷体_GB2312" w:hAnsi="仿宋_GB2312" w:eastAsia="楷体_GB2312" w:cs="仿宋_GB2312"/>
        </w:rPr>
      </w:pPr>
      <w:r>
        <w:rPr>
          <w:rFonts w:hint="eastAsia" w:ascii="楷体_GB2312" w:hAnsi="仿宋_GB2312" w:eastAsia="楷体_GB2312" w:cs="仿宋_GB2312"/>
          <w:spacing w:val="3"/>
        </w:rPr>
        <w:t>（一）在疫情防控常态化下有序恢复服务。</w:t>
      </w:r>
      <w:r>
        <w:rPr>
          <w:rFonts w:hint="eastAsia"/>
          <w:spacing w:val="3"/>
        </w:rPr>
        <w:t>根据疫情防控</w:t>
      </w:r>
      <w:r>
        <w:rPr>
          <w:rFonts w:hint="eastAsia"/>
          <w:spacing w:val="2"/>
        </w:rPr>
        <w:t>形势，及时调整完善防控策略，在疫情防控常态化条件下有序</w:t>
      </w:r>
      <w:r>
        <w:rPr>
          <w:rFonts w:hint="eastAsia"/>
          <w:spacing w:val="-11"/>
        </w:rPr>
        <w:t>恢复养老服务秩序。压实养老机构疫情防控责任，严格落实各项</w:t>
      </w:r>
      <w:r>
        <w:rPr>
          <w:rFonts w:hint="eastAsia"/>
          <w:spacing w:val="-13"/>
        </w:rPr>
        <w:t>防控措施，健全养老机构突发事件应急预案，坚决防止养老机构</w:t>
      </w:r>
      <w:r>
        <w:rPr>
          <w:rFonts w:hint="eastAsia"/>
          <w:spacing w:val="-4"/>
        </w:rPr>
        <w:t>发生疫情，并将防控落实情况在《全国养老机构业务管理系统》</w:t>
      </w:r>
      <w:r>
        <w:rPr>
          <w:rFonts w:hint="eastAsia"/>
          <w:spacing w:val="-9"/>
        </w:rPr>
        <w:t>中及时填报更新。</w:t>
      </w:r>
      <w:r>
        <w:rPr>
          <w:rFonts w:hint="eastAsia" w:ascii="楷体_GB2312" w:hAnsi="仿宋_GB2312" w:eastAsia="楷体_GB2312" w:cs="仿宋_GB2312"/>
          <w:spacing w:val="-9"/>
        </w:rPr>
        <w:t>（责任部门：民政部门、卫生健康部门）</w:t>
      </w:r>
    </w:p>
    <w:p>
      <w:pPr>
        <w:pStyle w:val="2"/>
        <w:spacing w:before="56" w:line="360" w:lineRule="auto"/>
        <w:ind w:left="107" w:right="84" w:firstLine="652" w:firstLineChars="200"/>
        <w:jc w:val="both"/>
        <w:rPr>
          <w:rFonts w:hint="eastAsia" w:ascii="楷体_GB2312" w:eastAsia="楷体_GB2312" w:cs="仿宋_GB2312"/>
        </w:rPr>
      </w:pPr>
      <w:r>
        <w:rPr>
          <w:rFonts w:hint="eastAsia" w:ascii="楷体_GB2312" w:eastAsia="楷体_GB2312" w:cs="仿宋_GB2312"/>
          <w:spacing w:val="3"/>
        </w:rPr>
        <w:t>（二）推动养老机构强基达标。</w:t>
      </w:r>
      <w:r>
        <w:rPr>
          <w:rFonts w:hint="eastAsia"/>
          <w:spacing w:val="3"/>
        </w:rPr>
        <w:t>对照《全国养老院服务质</w:t>
      </w:r>
      <w:r>
        <w:rPr>
          <w:rFonts w:hint="eastAsia"/>
          <w:spacing w:val="1"/>
        </w:rPr>
        <w:t>量大检查指南》《养老机构服务质量基本规范》《养老机构服</w:t>
      </w:r>
      <w:r>
        <w:rPr>
          <w:rFonts w:hint="eastAsia"/>
          <w:spacing w:val="3"/>
        </w:rPr>
        <w:t>务安全基本规范》（强制性标准</w:t>
      </w:r>
      <w:r>
        <w:rPr>
          <w:rFonts w:hint="eastAsia"/>
        </w:rPr>
        <w:t>）</w:t>
      </w:r>
      <w:r>
        <w:rPr>
          <w:rFonts w:hint="eastAsia"/>
          <w:spacing w:val="2"/>
        </w:rPr>
        <w:t>等，采取部门联合检查、第</w:t>
      </w:r>
      <w:r>
        <w:rPr>
          <w:rFonts w:hint="eastAsia"/>
          <w:spacing w:val="1"/>
        </w:rPr>
        <w:t>三方评估等方式，对所有养老机构服务质量、安全隐患等情况进行全面排查，并对以往排查的风险隐患整改情况进行“回头看”，建立整改台账，年底前整改到位。对既违反相关法律法规及其他强制性国家标准，又不符合《养老机构服务安全基本规范》强制标准，且拒不整改或无法完成整改的养老机构，报请当地人民政府组织联合执法，妥善安排在院老人，依法予以</w:t>
      </w:r>
      <w:r>
        <w:rPr>
          <w:rFonts w:hint="eastAsia"/>
          <w:position w:val="1"/>
        </w:rPr>
        <w:t>取缔。2020年底前，确保</w:t>
      </w:r>
      <w:r>
        <w:rPr>
          <w:rFonts w:hint="eastAsia"/>
          <w:spacing w:val="4"/>
          <w:position w:val="1"/>
        </w:rPr>
        <w:t>70</w:t>
      </w:r>
      <w:r>
        <w:drawing>
          <wp:inline distT="0" distB="0" distL="0" distR="0">
            <wp:extent cx="114300" cy="198120"/>
            <wp:effectExtent l="0" t="0" r="0" b="11430"/>
            <wp:docPr id="9" name="图片 9" descr="C:\Users\ADMINI~1\AppData\Local\Temp\ksohtml15688\wps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C:\Users\ADMINI~1\AppData\Local\Temp\ksohtml15688\wps9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position w:val="1"/>
        </w:rPr>
        <w:t>以上养老机构符合强制性国家标</w:t>
      </w:r>
      <w:r>
        <w:rPr>
          <w:rFonts w:hint="eastAsia"/>
          <w:spacing w:val="3"/>
        </w:rPr>
        <w:t>准。</w:t>
      </w:r>
      <w:r>
        <w:rPr>
          <w:rFonts w:hint="eastAsia" w:ascii="楷体_GB2312" w:eastAsia="楷体_GB2312" w:cs="仿宋_GB2312"/>
          <w:spacing w:val="3"/>
        </w:rPr>
        <w:t>（</w:t>
      </w:r>
      <w:r>
        <w:rPr>
          <w:rFonts w:hint="eastAsia" w:ascii="楷体_GB2312" w:eastAsia="楷体_GB2312" w:cs="仿宋_GB2312"/>
          <w:spacing w:val="2"/>
        </w:rPr>
        <w:t>责任部门：民政部门、卫生健康部门、应急管理部门、</w:t>
      </w:r>
      <w:r>
        <w:rPr>
          <w:rFonts w:hint="eastAsia" w:ascii="楷体_GB2312" w:eastAsia="楷体_GB2312" w:cs="仿宋_GB2312"/>
        </w:rPr>
        <w:t>市场监管部门、消防救援机构）</w:t>
      </w:r>
    </w:p>
    <w:p>
      <w:pPr>
        <w:pStyle w:val="2"/>
        <w:spacing w:line="360" w:lineRule="auto"/>
        <w:ind w:left="107" w:right="84" w:firstLine="652" w:firstLineChars="200"/>
        <w:jc w:val="both"/>
        <w:rPr>
          <w:rFonts w:hint="eastAsia" w:ascii="楷体_GB2312" w:hAnsi="仿宋_GB2312" w:eastAsia="楷体_GB2312" w:cs="仿宋_GB2312"/>
        </w:rPr>
      </w:pPr>
      <w:r>
        <w:rPr>
          <w:rFonts w:hint="eastAsia" w:ascii="楷体_GB2312" w:hAnsi="仿宋_GB2312" w:eastAsia="楷体_GB2312" w:cs="仿宋_GB2312"/>
          <w:spacing w:val="3"/>
        </w:rPr>
        <w:t>（三）开展养老机构等级评定。</w:t>
      </w:r>
      <w:r>
        <w:rPr>
          <w:rFonts w:hint="eastAsia"/>
          <w:spacing w:val="3"/>
        </w:rPr>
        <w:t>省级安排养老服务设施等</w:t>
      </w:r>
      <w:r>
        <w:rPr>
          <w:rFonts w:hint="eastAsia"/>
          <w:spacing w:val="-16"/>
        </w:rPr>
        <w:t>级评定补助资金，支持各地开展等级评定工作。各地要依据《养</w:t>
      </w:r>
      <w:r>
        <w:rPr>
          <w:rFonts w:hint="eastAsia"/>
          <w:spacing w:val="1"/>
        </w:rPr>
        <w:t>老机构等级划分与评定》国家标准，采取委托专业评估机构等方式，市级统一对养老机构开展等级评定，并将评定结果向社会公开，作为社会选择服务、政府监督管理的重要参考。鼓励各地建立与养老机构等级挂钩的运营补贴机制，并结合等级评</w:t>
      </w:r>
      <w:r>
        <w:rPr>
          <w:rFonts w:hint="eastAsia"/>
        </w:rPr>
        <w:t>定工作，一并进行护理型床位认定。10</w:t>
      </w:r>
      <w:r>
        <w:rPr>
          <w:rFonts w:hint="eastAsia"/>
          <w:spacing w:val="-10"/>
        </w:rPr>
        <w:t>月底前，各地养老机构</w:t>
      </w:r>
      <w:r>
        <w:rPr>
          <w:rFonts w:hint="eastAsia"/>
          <w:spacing w:val="1"/>
        </w:rPr>
        <w:t>等级评定工作全部完成，并录入山东养老管理平台。在此基础</w:t>
      </w:r>
      <w:r>
        <w:rPr>
          <w:rFonts w:hint="eastAsia"/>
          <w:spacing w:val="-17"/>
        </w:rPr>
        <w:t>上，支持各地先行先试，开展养老机构服务质量日常监测工作，</w:t>
      </w:r>
      <w:r>
        <w:rPr>
          <w:rFonts w:hint="eastAsia"/>
          <w:spacing w:val="-15"/>
        </w:rPr>
        <w:t>明确监测指标、监测方式和监测频次。</w:t>
      </w:r>
      <w:r>
        <w:rPr>
          <w:rFonts w:hint="eastAsia" w:ascii="楷体_GB2312" w:hAnsi="仿宋_GB2312" w:eastAsia="楷体_GB2312" w:cs="仿宋_GB2312"/>
        </w:rPr>
        <w:t>（</w:t>
      </w:r>
      <w:r>
        <w:rPr>
          <w:rFonts w:hint="eastAsia" w:ascii="楷体_GB2312" w:hAnsi="仿宋_GB2312" w:eastAsia="楷体_GB2312" w:cs="仿宋_GB2312"/>
          <w:spacing w:val="-8"/>
        </w:rPr>
        <w:t>责任部门：民政部门</w:t>
      </w:r>
      <w:r>
        <w:rPr>
          <w:rFonts w:hint="eastAsia" w:ascii="楷体_GB2312" w:hAnsi="仿宋_GB2312" w:eastAsia="楷体_GB2312" w:cs="仿宋_GB2312"/>
        </w:rPr>
        <w:t>）</w:t>
      </w:r>
    </w:p>
    <w:p>
      <w:pPr>
        <w:pStyle w:val="2"/>
        <w:spacing w:before="56" w:line="360" w:lineRule="auto"/>
        <w:ind w:left="107" w:right="84" w:firstLine="652" w:firstLineChars="200"/>
        <w:jc w:val="both"/>
        <w:rPr>
          <w:rFonts w:hint="eastAsia" w:ascii="楷体_GB2312" w:hAnsi="仿宋_GB2312" w:eastAsia="楷体_GB2312" w:cs="仿宋_GB2312"/>
        </w:rPr>
      </w:pPr>
      <w:r>
        <w:rPr>
          <w:rFonts w:hint="eastAsia" w:ascii="楷体_GB2312" w:hAnsi="仿宋_GB2312" w:eastAsia="楷体_GB2312" w:cs="仿宋_GB2312"/>
          <w:spacing w:val="3"/>
        </w:rPr>
        <w:t>（四）</w:t>
      </w:r>
      <w:r>
        <w:rPr>
          <w:rFonts w:hint="eastAsia" w:ascii="楷体_GB2312" w:hAnsi="仿宋_GB2312" w:eastAsia="楷体_GB2312" w:cs="仿宋_GB2312"/>
          <w:spacing w:val="2"/>
        </w:rPr>
        <w:t>实施敬老院改造提升工程。</w:t>
      </w:r>
      <w:r>
        <w:rPr>
          <w:rFonts w:hint="eastAsia"/>
          <w:spacing w:val="3"/>
        </w:rPr>
        <w:t>实施敬老院改造提升三</w:t>
      </w:r>
      <w:r>
        <w:rPr>
          <w:rFonts w:hint="eastAsia"/>
          <w:spacing w:val="-13"/>
        </w:rPr>
        <w:t>年计划，分年度、分阶段、分步骤推进，确保</w:t>
      </w:r>
      <w:r>
        <w:rPr>
          <w:rFonts w:hint="eastAsia"/>
        </w:rPr>
        <w:t>2022</w:t>
      </w:r>
      <w:r>
        <w:rPr>
          <w:rFonts w:hint="eastAsia"/>
          <w:spacing w:val="-15"/>
        </w:rPr>
        <w:t>年底前每个</w:t>
      </w:r>
      <w:r>
        <w:rPr>
          <w:rFonts w:hint="eastAsia"/>
          <w:spacing w:val="1"/>
        </w:rPr>
        <w:t>县都建有一处以提供失能护理服务为主的县级特困人员供养中心，形成县级敬老院为中心、中心敬老院和乡镇敬老院为衔接</w:t>
      </w:r>
      <w:r>
        <w:rPr>
          <w:rFonts w:hint="eastAsia"/>
        </w:rPr>
        <w:t>的特困人员集中供养体系</w:t>
      </w:r>
      <w:r>
        <w:rPr>
          <w:rFonts w:hint="eastAsia"/>
          <w:spacing w:val="-75"/>
        </w:rPr>
        <w:t>，</w:t>
      </w:r>
      <w:r>
        <w:rPr>
          <w:rFonts w:hint="eastAsia"/>
        </w:rPr>
        <w:t>护理型床位占比达到</w:t>
      </w:r>
      <w:r>
        <w:rPr>
          <w:rFonts w:hint="eastAsia"/>
          <w:spacing w:val="4"/>
        </w:rPr>
        <w:t>55</w:t>
      </w:r>
      <w:r>
        <w:drawing>
          <wp:inline distT="0" distB="0" distL="0" distR="0">
            <wp:extent cx="114300" cy="198120"/>
            <wp:effectExtent l="0" t="0" r="0" b="11430"/>
            <wp:docPr id="8" name="图片 8" descr="C:\Users\ADMINI~1\AppData\Local\Temp\ksohtml15688\wps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:\Users\ADMINI~1\AppData\Local\Temp\ksohtml15688\wps10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>以上</w:t>
      </w:r>
      <w:r>
        <w:rPr>
          <w:rFonts w:hint="eastAsia"/>
          <w:spacing w:val="-75"/>
        </w:rPr>
        <w:t>，</w:t>
      </w:r>
      <w:r>
        <w:rPr>
          <w:rFonts w:hint="eastAsia"/>
        </w:rPr>
        <w:t>所有</w:t>
      </w:r>
      <w:r>
        <w:rPr>
          <w:rFonts w:hint="eastAsia"/>
          <w:spacing w:val="1"/>
        </w:rPr>
        <w:t>敬老院达到二级以上养老机构标准，逐步实行公建民营和县级</w:t>
      </w:r>
      <w:r>
        <w:rPr>
          <w:rFonts w:hint="eastAsia"/>
          <w:spacing w:val="-18"/>
        </w:rPr>
        <w:t>统一管理。要依托具备条件的敬老院，打造具有特困人员供养、</w:t>
      </w:r>
      <w:r>
        <w:rPr>
          <w:rFonts w:hint="eastAsia"/>
          <w:spacing w:val="1"/>
        </w:rPr>
        <w:t>困难失能人员托养、上门服务、中央厨房、指导管理等功能的</w:t>
      </w:r>
      <w:r>
        <w:rPr>
          <w:rFonts w:hint="eastAsia"/>
          <w:spacing w:val="-12"/>
        </w:rPr>
        <w:t>区域性养老服务中心，年底前每市至少打造</w:t>
      </w:r>
      <w:r>
        <w:rPr>
          <w:rFonts w:hint="eastAsia"/>
        </w:rPr>
        <w:t>1</w:t>
      </w:r>
      <w:r>
        <w:rPr>
          <w:rFonts w:hint="eastAsia"/>
          <w:spacing w:val="-36"/>
        </w:rPr>
        <w:t>处示范样板。</w:t>
      </w:r>
      <w:r>
        <w:rPr>
          <w:rFonts w:hint="eastAsia" w:ascii="楷体_GB2312" w:hAnsi="仿宋_GB2312" w:eastAsia="楷体_GB2312" w:cs="仿宋_GB2312"/>
        </w:rPr>
        <w:t>（责任部门：民政部门、卫生健康部门）</w:t>
      </w:r>
    </w:p>
    <w:p>
      <w:pPr>
        <w:pStyle w:val="2"/>
        <w:spacing w:line="360" w:lineRule="auto"/>
        <w:ind w:left="107" w:right="84" w:firstLine="640" w:firstLineChars="200"/>
        <w:jc w:val="both"/>
        <w:rPr>
          <w:rFonts w:hint="eastAsia"/>
        </w:rPr>
      </w:pPr>
      <w:r>
        <w:rPr>
          <w:rFonts w:hint="eastAsia" w:ascii="楷体_GB2312" w:hAnsi="仿宋_GB2312" w:eastAsia="楷体_GB2312" w:cs="仿宋_GB2312"/>
        </w:rPr>
        <w:t>（五）实施养老机构消防安全达标提升工程。</w:t>
      </w:r>
      <w:r>
        <w:rPr>
          <w:rFonts w:hint="eastAsia"/>
        </w:rPr>
        <w:t>认真落实民政部等四部门《民办养老机构消防安全达标提升工程实施方案》（民发〔2019〕126号），结合民政服务机构消防安全专项整治三年行动，全面摸清辖区内养老机构消防安全状况，建立隐患、整改、责任“三个清单”，推动存量养老机构按照国家工程建设消防技术标准配置消防设施、器材，落实日常消防安全管理要求。按照部门职责分工，对未经消防设计审查、未经消防验收投入使用的养老机构进行督促整改；对判定为重大火灾隐患的养老机构提请当地政府挂牌督办。</w:t>
      </w:r>
      <w:r>
        <w:rPr>
          <w:rFonts w:hint="eastAsia" w:ascii="楷体_GB2312" w:eastAsia="楷体_GB2312" w:cs="仿宋_GB2312"/>
        </w:rPr>
        <w:t>（责任部门：民政部门、住房城乡建设部门、应急管理部门、消防救援机构）</w:t>
      </w:r>
    </w:p>
    <w:p>
      <w:pPr>
        <w:pStyle w:val="2"/>
        <w:spacing w:line="360" w:lineRule="auto"/>
        <w:ind w:left="107" w:right="84" w:firstLine="640" w:firstLineChars="200"/>
        <w:jc w:val="both"/>
        <w:rPr>
          <w:rFonts w:hint="eastAsia"/>
        </w:rPr>
      </w:pPr>
      <w:r>
        <w:rPr>
          <w:rFonts w:hint="eastAsia" w:ascii="楷体_GB2312" w:eastAsia="楷体_GB2312" w:cs="仿宋_GB2312"/>
        </w:rPr>
        <w:t>（六</w:t>
      </w:r>
      <w:r>
        <w:rPr>
          <w:rFonts w:hint="eastAsia" w:ascii="楷体_GB2312" w:eastAsia="楷体_GB2312" w:cs="仿宋_GB2312"/>
          <w:spacing w:val="-52"/>
        </w:rPr>
        <w:t>）</w:t>
      </w:r>
      <w:r>
        <w:rPr>
          <w:rFonts w:hint="eastAsia" w:ascii="楷体_GB2312" w:eastAsia="楷体_GB2312" w:cs="仿宋_GB2312"/>
          <w:spacing w:val="-4"/>
        </w:rPr>
        <w:t>建立健全养老服务综合监管制度。</w:t>
      </w:r>
      <w:r>
        <w:rPr>
          <w:rFonts w:hint="eastAsia"/>
        </w:rPr>
        <w:t>8</w:t>
      </w:r>
      <w:r>
        <w:rPr>
          <w:rFonts w:hint="eastAsia"/>
          <w:spacing w:val="-20"/>
        </w:rPr>
        <w:t>月底前，省级制</w:t>
      </w:r>
      <w:r>
        <w:rPr>
          <w:rFonts w:hint="eastAsia"/>
          <w:spacing w:val="-12"/>
        </w:rPr>
        <w:t>定出台关于加强养老服务综合监管的指导意见，推动建立以“双</w:t>
      </w:r>
      <w:r>
        <w:rPr>
          <w:rFonts w:hint="eastAsia"/>
          <w:spacing w:val="2"/>
        </w:rPr>
        <w:t>随机、一公开”监管为基本手段、以重点监管为补充、以标准</w:t>
      </w:r>
      <w:r>
        <w:rPr>
          <w:rFonts w:hint="eastAsia"/>
          <w:spacing w:val="1"/>
        </w:rPr>
        <w:t>规范为支撑、以信用监管为基础的跨部门、跨区域执法联动和</w:t>
      </w:r>
      <w:r>
        <w:rPr>
          <w:rFonts w:hint="eastAsia"/>
          <w:spacing w:val="-18"/>
        </w:rPr>
        <w:t>协作机制，实现违法线索互联、监管标准互通、处理结果互认。</w:t>
      </w:r>
      <w:r>
        <w:rPr>
          <w:rFonts w:hint="eastAsia"/>
          <w:spacing w:val="-6"/>
        </w:rPr>
        <w:t>民政部门要依托政务信息共享平台，获取有关部门的政务信息，</w:t>
      </w:r>
      <w:r>
        <w:rPr>
          <w:rFonts w:hint="eastAsia"/>
          <w:spacing w:val="2"/>
        </w:rPr>
        <w:t>组织基层定期排查上报，及时掌握新设立机构以及未登记、未</w:t>
      </w:r>
      <w:r>
        <w:rPr>
          <w:rFonts w:hint="eastAsia"/>
          <w:spacing w:val="1"/>
        </w:rPr>
        <w:t>备案机构信息，并录入山东省养老管理平台，纳入日常监管和</w:t>
      </w:r>
      <w:r>
        <w:rPr>
          <w:rFonts w:hint="eastAsia"/>
          <w:spacing w:val="-8"/>
        </w:rPr>
        <w:t>督促整改范围。</w:t>
      </w:r>
      <w:r>
        <w:rPr>
          <w:rFonts w:hint="eastAsia"/>
        </w:rPr>
        <w:t>6</w:t>
      </w:r>
      <w:r>
        <w:rPr>
          <w:rFonts w:hint="eastAsia"/>
          <w:spacing w:val="-16"/>
        </w:rPr>
        <w:t>月底前，优化升级省级养老管理平台，推行养</w:t>
      </w:r>
      <w:r>
        <w:rPr>
          <w:rFonts w:hint="eastAsia"/>
          <w:spacing w:val="2"/>
        </w:rPr>
        <w:t>老机构电子化备案，推广应用全省养老机构填报系统。</w:t>
      </w:r>
      <w:r>
        <w:rPr>
          <w:rFonts w:hint="eastAsia" w:ascii="楷体_GB2312" w:eastAsia="楷体_GB2312" w:cs="仿宋_GB2312"/>
          <w:spacing w:val="3"/>
        </w:rPr>
        <w:t>（责任</w:t>
      </w:r>
      <w:r>
        <w:rPr>
          <w:rFonts w:hint="eastAsia" w:ascii="楷体_GB2312" w:eastAsia="楷体_GB2312" w:cs="仿宋_GB2312"/>
          <w:spacing w:val="2"/>
        </w:rPr>
        <w:t>部门：民政部门、卫生健康部门、应急管理部门、市场监管部</w:t>
      </w:r>
      <w:r>
        <w:rPr>
          <w:rFonts w:hint="eastAsia" w:ascii="楷体_GB2312" w:eastAsia="楷体_GB2312" w:cs="仿宋_GB2312"/>
        </w:rPr>
        <w:t>门、消防救援机构）</w:t>
      </w:r>
    </w:p>
    <w:p>
      <w:pPr>
        <w:pStyle w:val="2"/>
        <w:spacing w:line="360" w:lineRule="auto"/>
        <w:ind w:left="107" w:right="84" w:firstLine="640" w:firstLineChars="200"/>
        <w:jc w:val="both"/>
        <w:rPr>
          <w:rFonts w:hint="eastAsia" w:ascii="楷体_GB2312" w:eastAsia="楷体_GB2312" w:cs="仿宋_GB2312"/>
        </w:rPr>
      </w:pPr>
      <w:r>
        <w:rPr>
          <w:rFonts w:hint="eastAsia" w:ascii="楷体_GB2312" w:eastAsia="楷体_GB2312" w:cs="仿宋_GB2312"/>
        </w:rPr>
        <w:t>（七</w:t>
      </w:r>
      <w:r>
        <w:rPr>
          <w:rFonts w:hint="eastAsia" w:ascii="楷体_GB2312" w:eastAsia="楷体_GB2312" w:cs="仿宋_GB2312"/>
          <w:spacing w:val="-52"/>
        </w:rPr>
        <w:t>）</w:t>
      </w:r>
      <w:r>
        <w:rPr>
          <w:rFonts w:hint="eastAsia" w:ascii="楷体_GB2312" w:eastAsia="楷体_GB2312" w:cs="仿宋_GB2312"/>
          <w:spacing w:val="-4"/>
        </w:rPr>
        <w:t>开展养老服务人才培训提升行动。</w:t>
      </w:r>
      <w:r>
        <w:rPr>
          <w:rFonts w:hint="eastAsia"/>
        </w:rPr>
        <w:t>8</w:t>
      </w:r>
      <w:r>
        <w:rPr>
          <w:rFonts w:hint="eastAsia"/>
          <w:spacing w:val="-20"/>
        </w:rPr>
        <w:t>月底前，省级制</w:t>
      </w:r>
      <w:r>
        <w:rPr>
          <w:rFonts w:hint="eastAsia"/>
          <w:spacing w:val="1"/>
        </w:rPr>
        <w:t>定出台开展养老服务培训提升工作的指导意见。积极协调人力资源社会保障部门，将养老护理员培训纳入《职业技能提升行</w:t>
      </w:r>
      <w:r>
        <w:rPr>
          <w:rFonts w:hint="eastAsia"/>
          <w:spacing w:val="-11"/>
        </w:rPr>
        <w:t>动方案</w:t>
      </w:r>
      <w:r>
        <w:rPr>
          <w:rFonts w:hint="eastAsia"/>
        </w:rPr>
        <w:t>（2019-2021</w:t>
      </w:r>
      <w:r>
        <w:rPr>
          <w:rFonts w:hint="eastAsia"/>
          <w:spacing w:val="-44"/>
        </w:rPr>
        <w:t>年</w:t>
      </w:r>
      <w:r>
        <w:rPr>
          <w:rFonts w:hint="eastAsia"/>
          <w:spacing w:val="-30"/>
        </w:rPr>
        <w:t>）</w:t>
      </w:r>
      <w:r>
        <w:rPr>
          <w:rFonts w:hint="eastAsia"/>
          <w:spacing w:val="-10"/>
        </w:rPr>
        <w:t>》，建立健全分级分类培训体系，确保</w:t>
      </w:r>
      <w:r>
        <w:rPr>
          <w:rFonts w:hint="eastAsia"/>
          <w:spacing w:val="1"/>
        </w:rPr>
        <w:t>完成培训任务。省级开展“齐鲁敬老使者”评选活动，表彰养</w:t>
      </w:r>
      <w:r>
        <w:rPr>
          <w:rFonts w:hint="eastAsia"/>
        </w:rPr>
        <w:t>老服务领域的先进典型。</w:t>
      </w:r>
      <w:r>
        <w:rPr>
          <w:rFonts w:hint="eastAsia" w:ascii="楷体_GB2312" w:eastAsia="楷体_GB2312" w:cs="仿宋_GB2312"/>
        </w:rPr>
        <w:t>（责任部门：民政部门）</w:t>
      </w:r>
    </w:p>
    <w:p>
      <w:pPr>
        <w:pStyle w:val="2"/>
        <w:spacing w:line="360" w:lineRule="auto"/>
        <w:ind w:left="107" w:right="84" w:firstLine="640" w:firstLineChars="200"/>
        <w:jc w:val="both"/>
        <w:rPr>
          <w:rFonts w:hint="eastAsia" w:ascii="楷体_GB2312" w:hAnsi="仿宋_GB2312" w:eastAsia="楷体_GB2312" w:cs="仿宋_GB2312"/>
        </w:rPr>
      </w:pPr>
      <w:r>
        <w:rPr>
          <w:rFonts w:hint="eastAsia" w:ascii="楷体_GB2312" w:hAnsi="仿宋_GB2312" w:eastAsia="楷体_GB2312" w:cs="仿宋_GB2312"/>
        </w:rPr>
        <w:t>（八）提升养老服务标准化水平。</w:t>
      </w:r>
      <w:r>
        <w:rPr>
          <w:rFonts w:hint="eastAsia"/>
        </w:rPr>
        <w:t>大力宣传养老服务国家标准和地方标准，推动《养老机构服务质量基本规范》《养老机构服务安全基本规范》等标准的贯彻实施，并纳入各级养老服务培训内容，确保有关部门和养老机构熟练掌握。省级依托养老服务专家库，设立省养老服务标准化委员会，年内编制5个地方养老服务标准。</w:t>
      </w:r>
      <w:r>
        <w:rPr>
          <w:rFonts w:hint="eastAsia" w:ascii="楷体_GB2312" w:hAnsi="仿宋_GB2312" w:eastAsia="楷体_GB2312" w:cs="仿宋_GB2312"/>
        </w:rPr>
        <w:t>（责任部门：民政部门）</w:t>
      </w:r>
    </w:p>
    <w:p>
      <w:pPr>
        <w:pStyle w:val="2"/>
        <w:spacing w:before="56" w:line="360" w:lineRule="auto"/>
        <w:ind w:left="107" w:right="84" w:firstLine="640" w:firstLineChars="200"/>
        <w:jc w:val="both"/>
        <w:rPr>
          <w:rFonts w:hint="eastAsia" w:ascii="楷体_GB2312" w:hAnsi="仿宋_GB2312" w:eastAsia="楷体_GB2312" w:cs="仿宋_GB2312"/>
        </w:rPr>
      </w:pPr>
      <w:r>
        <w:rPr>
          <w:rFonts w:hint="eastAsia" w:ascii="楷体_GB2312" w:hAnsi="仿宋_GB2312" w:eastAsia="楷体_GB2312" w:cs="仿宋_GB2312"/>
        </w:rPr>
        <w:t>（九）切实维护老年人合法权益。</w:t>
      </w:r>
      <w:r>
        <w:rPr>
          <w:rFonts w:hint="eastAsia"/>
        </w:rPr>
        <w:t>深入贯彻落实《山东省养老服务条例》，推动养老机构规范运营，严惩养老机构侵害老年人合法权益行为。对违反《山东省养老服务条例》第七十条有关规定的养老机构，由民政部门责令限期改正；情节严重的，处一万元以上三万元以下的罚款；可能危及人身健康和生命财产安全的，责令停业整顿，并处三万元以上十万元以下的罚款。</w:t>
      </w:r>
      <w:r>
        <w:rPr>
          <w:rFonts w:hint="eastAsia" w:ascii="楷体_GB2312" w:hAnsi="仿宋_GB2312" w:eastAsia="楷体_GB2312" w:cs="仿宋_GB2312"/>
        </w:rPr>
        <w:t>（责任部门：民政部门）</w:t>
      </w:r>
    </w:p>
    <w:p>
      <w:pPr>
        <w:pStyle w:val="2"/>
        <w:spacing w:line="360" w:lineRule="auto"/>
        <w:ind w:left="748" w:right="84" w:firstLine="640" w:firstLineChars="200"/>
        <w:jc w:val="both"/>
        <w:rPr>
          <w:rFonts w:hint="eastAsia" w:ascii="黑体" w:hAnsi="仿宋_GB2312" w:eastAsia="黑体" w:cs="仿宋_GB2312"/>
        </w:rPr>
      </w:pPr>
      <w:r>
        <w:rPr>
          <w:rFonts w:hint="eastAsia" w:ascii="黑体" w:hAnsi="黑体" w:eastAsia="黑体" w:cs="仿宋_GB2312"/>
        </w:rPr>
        <w:t>三、工作要求</w:t>
      </w:r>
    </w:p>
    <w:p>
      <w:pPr>
        <w:pStyle w:val="2"/>
        <w:spacing w:before="179" w:line="360" w:lineRule="auto"/>
        <w:ind w:left="107" w:right="84" w:firstLine="640" w:firstLineChars="200"/>
        <w:jc w:val="both"/>
        <w:rPr>
          <w:rFonts w:hint="eastAsia"/>
        </w:rPr>
      </w:pPr>
      <w:r>
        <w:rPr>
          <w:rFonts w:hint="eastAsia" w:ascii="楷体_GB2312" w:hAnsi="仿宋_GB2312" w:eastAsia="楷体_GB2312" w:cs="仿宋_GB2312"/>
        </w:rPr>
        <w:t>（一）健全工作机制。</w:t>
      </w:r>
      <w:r>
        <w:rPr>
          <w:rFonts w:hint="eastAsia"/>
        </w:rPr>
        <w:t>各地要建立政府主导、民政牵头、部门协同、社会参与的工作机制，形成工作合力。民政部门要将专项行动纳入年度业务评估重点内容，加强工作指导，定期调度进展，会同有关部门及时解决遇到的困难和问题。各有关部门要按照职责分工，加强协作配合，共享有关信息，推进任务落实。对工作中遇到的重大问题，要及时报请当地政府研究解决。</w:t>
      </w:r>
    </w:p>
    <w:p>
      <w:pPr>
        <w:pStyle w:val="2"/>
        <w:spacing w:line="360" w:lineRule="auto"/>
        <w:ind w:left="107" w:right="84" w:firstLine="652" w:firstLineChars="200"/>
        <w:jc w:val="both"/>
        <w:rPr>
          <w:rFonts w:hint="eastAsia"/>
        </w:rPr>
      </w:pPr>
      <w:r>
        <w:rPr>
          <w:rFonts w:hint="eastAsia" w:ascii="楷体_GB2312" w:eastAsia="楷体_GB2312" w:cs="仿宋_GB2312"/>
          <w:spacing w:val="3"/>
        </w:rPr>
        <w:t>（二）加强督促指导。</w:t>
      </w:r>
      <w:r>
        <w:rPr>
          <w:rFonts w:hint="eastAsia"/>
          <w:spacing w:val="3"/>
        </w:rPr>
        <w:t>各地要采取实地检查验收、第三方</w:t>
      </w:r>
      <w:r>
        <w:rPr>
          <w:rFonts w:hint="eastAsia"/>
          <w:spacing w:val="1"/>
        </w:rPr>
        <w:t>评估等方式，对养老机构服务质量达标、隐患排查整治情况进</w:t>
      </w:r>
      <w:r>
        <w:rPr>
          <w:rFonts w:hint="eastAsia"/>
          <w:spacing w:val="-12"/>
        </w:rPr>
        <w:t>行现场检查，严禁坐在办公室里搞“文字整改”“数字整改”。</w:t>
      </w:r>
      <w:r>
        <w:rPr>
          <w:rFonts w:hint="eastAsia"/>
          <w:spacing w:val="1"/>
        </w:rPr>
        <w:t>省级将适时组织开展专项行动评估工作，通报各地专项行动开</w:t>
      </w:r>
      <w:r>
        <w:rPr>
          <w:rFonts w:hint="eastAsia"/>
        </w:rPr>
        <w:t>展情况。</w:t>
      </w:r>
    </w:p>
    <w:p>
      <w:pPr>
        <w:pStyle w:val="2"/>
        <w:spacing w:line="360" w:lineRule="auto"/>
        <w:ind w:left="107" w:right="84" w:firstLine="640" w:firstLineChars="200"/>
        <w:jc w:val="both"/>
        <w:rPr>
          <w:rFonts w:hint="eastAsia"/>
        </w:rPr>
      </w:pPr>
      <w:r>
        <w:rPr>
          <w:rFonts w:hint="eastAsia" w:ascii="楷体_GB2312" w:hAnsi="仿宋_GB2312" w:eastAsia="楷体_GB2312" w:cs="仿宋_GB2312"/>
        </w:rPr>
        <w:t>（三）推进长效监管。</w:t>
      </w:r>
      <w:r>
        <w:rPr>
          <w:rFonts w:hint="eastAsia"/>
        </w:rPr>
        <w:t>专项行动结束后，各地要转变工作方式方法，通过运用信息化、规范化、标准化等方法，建立健全养老机构服务质量建设长效机制，促进养老院服务质量不断提升。</w:t>
      </w:r>
    </w:p>
    <w:p>
      <w:pPr>
        <w:pStyle w:val="2"/>
        <w:spacing w:line="360" w:lineRule="auto"/>
        <w:ind w:left="108" w:right="84" w:firstLine="640" w:firstLineChars="200"/>
        <w:jc w:val="both"/>
        <w:rPr>
          <w:rFonts w:hint="eastAsia"/>
        </w:rPr>
      </w:pPr>
      <w:r>
        <w:rPr>
          <w:rFonts w:hint="eastAsia" w:ascii="楷体_GB2312" w:hAnsi="仿宋_GB2312" w:eastAsia="楷体_GB2312" w:cs="仿宋_GB2312"/>
        </w:rPr>
        <w:t>（四）强化宣传引导。</w:t>
      </w:r>
      <w:r>
        <w:rPr>
          <w:rFonts w:hint="eastAsia"/>
        </w:rPr>
        <w:t>各地要继续通过电视媒体、报刊杂志、门户网站、微博、微信等平台广泛宣传专项行动，宣传正面典型，曝光反面典型，激励养老机构提升服务质量，营造良好的舆论环境。</w:t>
      </w:r>
    </w:p>
    <w:p>
      <w:pPr>
        <w:pStyle w:val="2"/>
        <w:spacing w:line="360" w:lineRule="auto"/>
        <w:ind w:right="84" w:firstLine="640" w:firstLineChars="200"/>
        <w:jc w:val="both"/>
      </w:pPr>
      <w:r>
        <w:rPr>
          <w:rFonts w:hint="eastAsia"/>
        </w:rPr>
        <w:t>各市要对2017年以来的专项行动进行总结，于11月中旬前向省民政厅报送专项行动总结报告，内容主要包括专项行动四年来主要工作及成效、存在的突出问题、意见建议和下一步健全落实长效机制的打算。</w:t>
      </w:r>
    </w:p>
    <w:p>
      <w:pPr>
        <w:pStyle w:val="2"/>
        <w:spacing w:line="360" w:lineRule="auto"/>
        <w:ind w:right="84" w:firstLine="640" w:firstLineChars="200"/>
        <w:jc w:val="both"/>
        <w:rPr>
          <w:rFonts w:hint="eastAsia"/>
        </w:rPr>
      </w:pPr>
    </w:p>
    <w:p>
      <w:pPr>
        <w:ind w:firstLine="3968" w:firstLineChars="1240"/>
        <w:jc w:val="center"/>
        <w:rPr>
          <w:rFonts w:hint="eastAsia" w:ascii="仿宋_GB2312" w:hAnsi="黑体" w:eastAsia="仿宋_GB2312"/>
          <w:szCs w:val="32"/>
        </w:rPr>
      </w:pPr>
      <w:r>
        <w:rPr>
          <w:rFonts w:hint="eastAsia" w:ascii="仿宋_GB2312" w:hAnsi="黑体" w:eastAsia="仿宋_GB2312"/>
          <w:szCs w:val="32"/>
        </w:rPr>
        <w:t>山 东 省 民 政 厅</w:t>
      </w:r>
    </w:p>
    <w:p>
      <w:pPr>
        <w:ind w:firstLine="3968" w:firstLineChars="1240"/>
        <w:jc w:val="center"/>
        <w:rPr>
          <w:rFonts w:hint="eastAsia" w:ascii="仿宋_GB2312" w:hAnsi="黑体" w:eastAsia="仿宋_GB2312"/>
          <w:szCs w:val="32"/>
        </w:rPr>
      </w:pPr>
      <w:r>
        <w:rPr>
          <w:rFonts w:hint="eastAsia" w:ascii="仿宋_GB2312" w:hAnsi="黑体" w:eastAsia="仿宋_GB2312"/>
          <w:szCs w:val="32"/>
        </w:rPr>
        <w:t>山东省住房和城乡建设厅</w:t>
      </w:r>
    </w:p>
    <w:p>
      <w:pPr>
        <w:ind w:firstLine="3968" w:firstLineChars="1240"/>
        <w:jc w:val="center"/>
        <w:rPr>
          <w:rFonts w:hint="eastAsia" w:ascii="仿宋_GB2312" w:hAnsi="黑体" w:eastAsia="仿宋_GB2312"/>
          <w:szCs w:val="32"/>
        </w:rPr>
      </w:pPr>
      <w:r>
        <w:rPr>
          <w:rFonts w:hint="eastAsia" w:ascii="仿宋_GB2312" w:hAnsi="黑体" w:eastAsia="仿宋_GB2312"/>
          <w:szCs w:val="32"/>
        </w:rPr>
        <w:t>山 东 省 卫 生 健 康 委</w:t>
      </w:r>
    </w:p>
    <w:p>
      <w:pPr>
        <w:ind w:firstLine="3968" w:firstLineChars="1240"/>
        <w:jc w:val="center"/>
        <w:rPr>
          <w:rFonts w:hint="eastAsia" w:ascii="仿宋_GB2312" w:hAnsi="黑体" w:eastAsia="仿宋_GB2312"/>
          <w:szCs w:val="32"/>
        </w:rPr>
      </w:pPr>
      <w:r>
        <w:rPr>
          <w:rFonts w:hint="eastAsia" w:ascii="仿宋_GB2312" w:hAnsi="黑体" w:eastAsia="仿宋_GB2312"/>
          <w:szCs w:val="32"/>
        </w:rPr>
        <w:t>山 东 省 应 急 管 理 厅</w:t>
      </w:r>
    </w:p>
    <w:p>
      <w:pPr>
        <w:ind w:firstLine="3968" w:firstLineChars="1240"/>
        <w:jc w:val="center"/>
        <w:rPr>
          <w:rFonts w:hint="eastAsia" w:ascii="仿宋_GB2312" w:hAnsi="黑体" w:eastAsia="仿宋_GB2312"/>
          <w:szCs w:val="32"/>
        </w:rPr>
      </w:pPr>
      <w:r>
        <w:rPr>
          <w:rFonts w:hint="eastAsia" w:ascii="仿宋_GB2312" w:hAnsi="黑体" w:eastAsia="仿宋_GB2312"/>
          <w:szCs w:val="32"/>
        </w:rPr>
        <w:t>山 东 省 市 场 监 管 局</w:t>
      </w:r>
    </w:p>
    <w:p>
      <w:pPr>
        <w:ind w:firstLine="3968" w:firstLineChars="1240"/>
        <w:jc w:val="center"/>
        <w:rPr>
          <w:rFonts w:ascii="仿宋_GB2312" w:hAnsi="黑体" w:eastAsia="仿宋_GB2312"/>
          <w:szCs w:val="32"/>
        </w:rPr>
      </w:pPr>
      <w:r>
        <w:rPr>
          <w:rFonts w:hint="eastAsia" w:ascii="仿宋_GB2312" w:hAnsi="黑体" w:eastAsia="仿宋_GB2312"/>
          <w:szCs w:val="32"/>
        </w:rPr>
        <w:t>山 东 省 消 防 救 援 总 队</w:t>
      </w:r>
    </w:p>
    <w:p>
      <w:pPr>
        <w:ind w:firstLine="3968" w:firstLineChars="1240"/>
        <w:jc w:val="center"/>
        <w:rPr>
          <w:rFonts w:ascii="仿宋_GB2312" w:hAnsi="黑体" w:eastAsia="仿宋_GB2312"/>
          <w:szCs w:val="32"/>
        </w:rPr>
      </w:pPr>
      <w:r>
        <w:rPr>
          <w:rFonts w:hint="eastAsia" w:ascii="仿宋_GB2312" w:hAnsi="黑体" w:eastAsia="仿宋_GB2312"/>
          <w:szCs w:val="32"/>
        </w:rPr>
        <w:t>2020 年 5 月12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CA09C7"/>
    <w:rsid w:val="47CA0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1040" w:firstLineChars="200"/>
      <w:jc w:val="both"/>
    </w:pPr>
    <w:rPr>
      <w:rFonts w:ascii="Calibri" w:hAnsi="Calibri" w:eastAsia="仿宋" w:cs="黑体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仿宋_GB2312" w:hAnsi="宋体" w:eastAsia="仿宋_GB2312" w:cs="宋体"/>
      <w:kern w:val="0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2021-04-14T08:18:00Z</dcterms:created>
  <dc:creator>lenovo</dc:creator>
  <cp:lastModifiedBy>lenovo</cp:lastModifiedBy>
  <dcterms:modified xsi:type="dcterms:W3CDTF">2021-04-14T08:18:49Z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