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atLeast"/>
        <w:jc w:val="center"/>
        <w:rPr>
          <w:rFonts w:ascii="方正小标宋简体" w:hAnsi="黑体" w:eastAsia="方正小标宋简体" w:cs="宋体"/>
          <w:color w:val="333333"/>
          <w:kern w:val="0"/>
          <w:sz w:val="44"/>
          <w:szCs w:val="44"/>
        </w:rPr>
      </w:pPr>
      <w:bookmarkStart w:id="0" w:name="_GoBack"/>
      <w:r>
        <w:rPr>
          <w:rFonts w:hint="eastAsia" w:ascii="方正小标宋简体" w:hAnsi="宋体" w:eastAsia="方正小标宋简体" w:cs="宋体"/>
          <w:color w:val="333333"/>
          <w:kern w:val="0"/>
          <w:sz w:val="44"/>
          <w:szCs w:val="44"/>
        </w:rPr>
        <w:t>养老服务扶持政策办理指南</w:t>
      </w:r>
      <w:bookmarkEnd w:id="0"/>
    </w:p>
    <w:p>
      <w:pPr>
        <w:widowControl/>
        <w:spacing w:line="600" w:lineRule="atLeast"/>
        <w:ind w:firstLine="480"/>
        <w:rPr>
          <w:rFonts w:ascii="仿宋_GB2312" w:hAnsi="黑体" w:eastAsia="仿宋_GB2312" w:cs="宋体"/>
          <w:color w:val="333333"/>
          <w:kern w:val="0"/>
          <w:sz w:val="32"/>
          <w:szCs w:val="32"/>
        </w:rPr>
      </w:pPr>
    </w:p>
    <w:p>
      <w:pPr>
        <w:widowControl/>
        <w:spacing w:line="600" w:lineRule="atLeast"/>
        <w:ind w:firstLine="480"/>
        <w:rPr>
          <w:rFonts w:ascii="黑体" w:hAnsi="黑体" w:eastAsia="黑体" w:cs="宋体"/>
          <w:color w:val="333333"/>
          <w:kern w:val="0"/>
          <w:sz w:val="32"/>
          <w:szCs w:val="32"/>
        </w:rPr>
      </w:pPr>
      <w:r>
        <w:rPr>
          <w:rFonts w:hint="eastAsia" w:ascii="黑体" w:hAnsi="黑体" w:eastAsia="黑体" w:cs="宋体"/>
          <w:color w:val="333333"/>
          <w:kern w:val="0"/>
          <w:sz w:val="32"/>
          <w:szCs w:val="32"/>
        </w:rPr>
        <w:t>一、养老服务扶持政策内容及补贴对象</w:t>
      </w:r>
    </w:p>
    <w:p>
      <w:pPr>
        <w:spacing w:line="600" w:lineRule="exact"/>
        <w:ind w:firstLine="640" w:firstLineChars="200"/>
        <w:rPr>
          <w:rFonts w:ascii="Times New Roman" w:eastAsia="楷体_GB2312"/>
          <w:color w:val="000000" w:themeColor="text1"/>
          <w:sz w:val="32"/>
          <w:szCs w:val="32"/>
          <w14:textFill>
            <w14:solidFill>
              <w14:schemeClr w14:val="tx1"/>
            </w14:solidFill>
          </w14:textFill>
        </w:rPr>
      </w:pPr>
      <w:r>
        <w:rPr>
          <w:rFonts w:hint="eastAsia" w:ascii="楷体_GB2312" w:hAnsi="宋体" w:eastAsia="楷体_GB2312" w:cs="宋体"/>
          <w:color w:val="333333"/>
          <w:kern w:val="0"/>
          <w:sz w:val="32"/>
          <w:szCs w:val="32"/>
        </w:rPr>
        <w:t>（一）省级扶持政策（具体条件及申报材料详见附件1）</w:t>
      </w:r>
    </w:p>
    <w:p>
      <w:pPr>
        <w:spacing w:line="60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1.护理型养老机构一次性建设补助项目</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补助范围</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2021年1月1日起，本省行政区域范围内由政府、企业、社会组织、个人，以新建、扩建以及利用自有房产、租赁房屋改建等方式建设的，重点为失能、半失能老年人提供服务的护理型养老机构、养护院、护理院等项目。</w:t>
      </w:r>
    </w:p>
    <w:p>
      <w:pPr>
        <w:widowControl/>
        <w:shd w:val="clear" w:color="auto" w:fill="FFFFFF"/>
        <w:spacing w:line="600" w:lineRule="exact"/>
        <w:ind w:firstLine="640" w:firstLineChars="200"/>
        <w:jc w:val="left"/>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补助标准</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对符合条件的养老机构，按核定护理型床位给予一次性新建、扩建补助或租赁改建补助，每张床位补助标准为8</w:t>
      </w:r>
      <w:r>
        <w:rPr>
          <w:rFonts w:ascii="Times New Roman" w:eastAsia="仿宋_GB2312"/>
          <w:color w:val="000000" w:themeColor="text1"/>
          <w:sz w:val="32"/>
          <w:szCs w:val="32"/>
          <w14:textFill>
            <w14:solidFill>
              <w14:schemeClr w14:val="tx1"/>
            </w14:solidFill>
          </w14:textFill>
        </w:rPr>
        <w:t>000-12000元</w:t>
      </w:r>
      <w:r>
        <w:rPr>
          <w:rFonts w:hint="eastAsia" w:ascii="Times New Roman" w:eastAsia="仿宋_GB2312"/>
          <w:color w:val="000000" w:themeColor="text1"/>
          <w:sz w:val="32"/>
          <w:szCs w:val="32"/>
          <w14:textFill>
            <w14:solidFill>
              <w14:schemeClr w14:val="tx1"/>
            </w14:solidFill>
          </w14:textFill>
        </w:rPr>
        <w:t>。</w:t>
      </w:r>
    </w:p>
    <w:p>
      <w:pPr>
        <w:widowControl/>
        <w:shd w:val="clear" w:color="auto" w:fill="FFFFFF"/>
        <w:spacing w:line="60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2.特困人员供养设施（敬老院）一次性建设补助项目</w:t>
      </w:r>
    </w:p>
    <w:p>
      <w:pPr>
        <w:widowControl/>
        <w:shd w:val="clear" w:color="auto" w:fill="FFFFFF"/>
        <w:spacing w:line="600" w:lineRule="exact"/>
        <w:ind w:firstLine="640" w:firstLineChars="200"/>
        <w:jc w:val="left"/>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补助范围</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2021年1月1日起，本省行政区域范围内政府以独资、合资、合作等方式，新建或依托现有敬老院设施扩建、改造提升的，以失能、半失能特困人员专业照护为主的特困人员供养设施（敬老院）</w:t>
      </w:r>
      <w:r>
        <w:rPr>
          <w:rFonts w:ascii="Times New Roman" w:eastAsia="仿宋_GB2312"/>
          <w:color w:val="000000" w:themeColor="text1"/>
          <w:sz w:val="32"/>
          <w:szCs w:val="32"/>
          <w14:textFill>
            <w14:solidFill>
              <w14:schemeClr w14:val="tx1"/>
            </w14:solidFill>
          </w14:textFill>
        </w:rPr>
        <w:t>。</w:t>
      </w:r>
    </w:p>
    <w:p>
      <w:pPr>
        <w:widowControl/>
        <w:shd w:val="clear" w:color="auto" w:fill="FFFFFF"/>
        <w:spacing w:line="600" w:lineRule="exact"/>
        <w:ind w:firstLine="640" w:firstLineChars="200"/>
        <w:jc w:val="left"/>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补助标准</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对符合条件的特困人员供养设施（敬老院），按核定护理型床位给予一次性建设补助或改造提升补助。每张新建、扩建床位补助标准为8000</w:t>
      </w:r>
      <w:r>
        <w:rPr>
          <w:rFonts w:ascii="Times New Roman" w:eastAsia="仿宋_GB2312"/>
          <w:color w:val="000000" w:themeColor="text1"/>
          <w:sz w:val="32"/>
          <w:szCs w:val="32"/>
          <w14:textFill>
            <w14:solidFill>
              <w14:schemeClr w14:val="tx1"/>
            </w14:solidFill>
          </w14:textFill>
        </w:rPr>
        <w:t>-12000</w:t>
      </w:r>
      <w:r>
        <w:rPr>
          <w:rFonts w:hint="eastAsia" w:ascii="Times New Roman" w:eastAsia="仿宋_GB2312"/>
          <w:color w:val="000000" w:themeColor="text1"/>
          <w:sz w:val="32"/>
          <w:szCs w:val="32"/>
          <w14:textFill>
            <w14:solidFill>
              <w14:schemeClr w14:val="tx1"/>
            </w14:solidFill>
          </w14:textFill>
        </w:rPr>
        <w:t>元，改造提升床位补助标准为2400</w:t>
      </w:r>
      <w:r>
        <w:rPr>
          <w:rFonts w:ascii="Times New Roman" w:eastAsia="仿宋_GB2312"/>
          <w:color w:val="000000" w:themeColor="text1"/>
          <w:sz w:val="32"/>
          <w:szCs w:val="32"/>
          <w14:textFill>
            <w14:solidFill>
              <w14:schemeClr w14:val="tx1"/>
            </w14:solidFill>
          </w14:textFill>
        </w:rPr>
        <w:t>-3600</w:t>
      </w:r>
      <w:r>
        <w:rPr>
          <w:rFonts w:hint="eastAsia" w:ascii="Times New Roman" w:eastAsia="仿宋_GB2312"/>
          <w:color w:val="000000" w:themeColor="text1"/>
          <w:sz w:val="32"/>
          <w:szCs w:val="32"/>
          <w14:textFill>
            <w14:solidFill>
              <w14:schemeClr w14:val="tx1"/>
            </w14:solidFill>
          </w14:textFill>
        </w:rPr>
        <w:t>元。</w:t>
      </w:r>
    </w:p>
    <w:p>
      <w:pPr>
        <w:widowControl/>
        <w:shd w:val="clear" w:color="auto" w:fill="FFFFFF"/>
        <w:spacing w:line="60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3.</w:t>
      </w:r>
      <w:r>
        <w:rPr>
          <w:rFonts w:ascii="仿宋_GB2312" w:eastAsia="仿宋_GB2312"/>
          <w:b/>
          <w:color w:val="000000" w:themeColor="text1"/>
          <w:sz w:val="32"/>
          <w:szCs w:val="32"/>
          <w14:textFill>
            <w14:solidFill>
              <w14:schemeClr w14:val="tx1"/>
            </w14:solidFill>
          </w14:textFill>
        </w:rPr>
        <w:t>养老机构运营补助项目</w:t>
      </w:r>
    </w:p>
    <w:p>
      <w:pPr>
        <w:widowControl/>
        <w:shd w:val="clear" w:color="auto" w:fill="FFFFFF"/>
        <w:spacing w:line="600" w:lineRule="exact"/>
        <w:ind w:firstLine="640" w:firstLineChars="200"/>
        <w:jc w:val="left"/>
        <w:rPr>
          <w:rFonts w:ascii="Times New Roman"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补助</w:t>
      </w:r>
      <w:r>
        <w:rPr>
          <w:rFonts w:ascii="黑体" w:hAnsi="黑体" w:eastAsia="黑体"/>
          <w:color w:val="000000" w:themeColor="text1"/>
          <w:sz w:val="32"/>
          <w:szCs w:val="32"/>
          <w14:textFill>
            <w14:solidFill>
              <w14:schemeClr w14:val="tx1"/>
            </w14:solidFill>
          </w14:textFill>
        </w:rPr>
        <w:t>范围</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本省行政区域范围内已投入运营，重点为失能、半失能老年人提供服务的民办养老机构、委托第三方运营的公办养老机构、政府与第三方合资合作养老机构，补助对象为实际运营方</w:t>
      </w:r>
      <w:r>
        <w:rPr>
          <w:rFonts w:ascii="Times New Roman" w:eastAsia="仿宋_GB2312"/>
          <w:color w:val="000000" w:themeColor="text1"/>
          <w:sz w:val="32"/>
          <w:szCs w:val="32"/>
          <w14:textFill>
            <w14:solidFill>
              <w14:schemeClr w14:val="tx1"/>
            </w14:solidFill>
          </w14:textFill>
        </w:rPr>
        <w:t>。</w:t>
      </w:r>
    </w:p>
    <w:p>
      <w:pPr>
        <w:widowControl/>
        <w:shd w:val="clear" w:color="auto" w:fill="FFFFFF"/>
        <w:spacing w:line="600" w:lineRule="exact"/>
        <w:ind w:firstLine="640" w:firstLineChars="200"/>
        <w:jc w:val="left"/>
        <w:rPr>
          <w:rFonts w:ascii="Times New Roman"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补助</w:t>
      </w:r>
      <w:r>
        <w:rPr>
          <w:rFonts w:ascii="黑体" w:hAnsi="黑体" w:eastAsia="黑体"/>
          <w:color w:val="000000" w:themeColor="text1"/>
          <w:sz w:val="32"/>
          <w:szCs w:val="32"/>
          <w14:textFill>
            <w14:solidFill>
              <w14:schemeClr w14:val="tx1"/>
            </w14:solidFill>
          </w14:textFill>
        </w:rPr>
        <w:t>标准</w:t>
      </w:r>
      <w:r>
        <w:rPr>
          <w:rFonts w:hint="eastAsia" w:ascii="黑体" w:hAnsi="黑体" w:eastAsia="黑体"/>
          <w:color w:val="000000" w:themeColor="text1"/>
          <w:sz w:val="32"/>
          <w:szCs w:val="32"/>
          <w14:textFill>
            <w14:solidFill>
              <w14:schemeClr w14:val="tx1"/>
            </w14:solidFill>
          </w14:textFill>
        </w:rPr>
        <w:t>：</w:t>
      </w:r>
      <w:r>
        <w:rPr>
          <w:rFonts w:ascii="Times New Roman" w:eastAsia="仿宋_GB2312"/>
          <w:color w:val="000000" w:themeColor="text1"/>
          <w:sz w:val="32"/>
          <w:szCs w:val="32"/>
          <w14:textFill>
            <w14:solidFill>
              <w14:schemeClr w14:val="tx1"/>
            </w14:solidFill>
          </w14:textFill>
        </w:rPr>
        <w:t>对符合条件的民办和委托第三方运营的公办养老机构，根据收住的中度、重度的老</w:t>
      </w:r>
      <w:r>
        <w:rPr>
          <w:rFonts w:ascii="Times New Roman" w:eastAsia="仿宋_GB2312"/>
          <w:sz w:val="32"/>
          <w:szCs w:val="32"/>
        </w:rPr>
        <w:t>年人数进行</w:t>
      </w:r>
      <w:r>
        <w:rPr>
          <w:rFonts w:ascii="Times New Roman" w:eastAsia="仿宋_GB2312"/>
          <w:color w:val="000000" w:themeColor="text1"/>
          <w:sz w:val="32"/>
          <w:szCs w:val="32"/>
          <w14:textFill>
            <w14:solidFill>
              <w14:schemeClr w14:val="tx1"/>
            </w14:solidFill>
          </w14:textFill>
        </w:rPr>
        <w:t>补贴，补助标准为每人每年2400元、3600元，并根据养老机构1-5星级等级评定结果，分别给予0.8倍、0.9倍、1倍、1.1倍、1.2倍差异化补助。对各市评出的4、5星级养老机构，由省民政厅统一进行复核认定后，方能按照以上标准享受运营补贴。</w:t>
      </w:r>
    </w:p>
    <w:p>
      <w:pPr>
        <w:widowControl/>
        <w:shd w:val="clear" w:color="auto" w:fill="FFFFFF"/>
        <w:spacing w:line="600" w:lineRule="exact"/>
        <w:ind w:firstLine="643" w:firstLineChars="200"/>
        <w:jc w:val="left"/>
        <w:rPr>
          <w:rFonts w:ascii="Times New Roman" w:eastAsia="楷体_GB2312"/>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4</w:t>
      </w:r>
      <w:r>
        <w:rPr>
          <w:rFonts w:ascii="仿宋_GB2312" w:eastAsia="仿宋_GB2312"/>
          <w:b/>
          <w:color w:val="000000" w:themeColor="text1"/>
          <w:sz w:val="32"/>
          <w:szCs w:val="32"/>
          <w14:textFill>
            <w14:solidFill>
              <w14:schemeClr w14:val="tx1"/>
            </w14:solidFill>
          </w14:textFill>
        </w:rPr>
        <w:t>.</w:t>
      </w:r>
      <w:r>
        <w:rPr>
          <w:rFonts w:hint="eastAsia" w:ascii="仿宋_GB2312" w:eastAsia="仿宋_GB2312"/>
          <w:b/>
          <w:color w:val="000000" w:themeColor="text1"/>
          <w:sz w:val="32"/>
          <w:szCs w:val="32"/>
          <w14:textFill>
            <w14:solidFill>
              <w14:schemeClr w14:val="tx1"/>
            </w14:solidFill>
          </w14:textFill>
        </w:rPr>
        <w:t>社区老年人日间照料中心、农村幸福院运营奖补项目</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奖补范围</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本省行政区域范围内由街道、社区、村（居）委会、个人或社会力量运营，为老年人提供日间照料、文化娱乐、精神慰藉等服务的社区老年人日间照料中心、农村幸福院，补助对象为实际运营方。</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奖补标准</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对符合条件的社区老年人日间照料中心、农村幸福院， 省级分别按照每处每年不高于12000元、6000元的标准，从省级养老服务专项资金中统筹安排奖补资金。各市根据等级评定结果，结合省级奖补和本级相关资金安排，对符合条件的社区老年人日间照料中心、农村幸福院实施差异化奖补，具体奖补标准和方案由各设区市制定。</w:t>
      </w:r>
    </w:p>
    <w:p>
      <w:pPr>
        <w:spacing w:line="60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hAnsi="黑体" w:eastAsia="仿宋_GB2312"/>
          <w:b/>
          <w:sz w:val="32"/>
          <w:szCs w:val="32"/>
        </w:rPr>
        <w:t>5.</w:t>
      </w:r>
      <w:r>
        <w:rPr>
          <w:rFonts w:hint="eastAsia" w:ascii="仿宋_GB2312" w:eastAsia="仿宋_GB2312"/>
          <w:b/>
          <w:color w:val="000000" w:themeColor="text1"/>
          <w:sz w:val="32"/>
          <w:szCs w:val="32"/>
          <w14:textFill>
            <w14:solidFill>
              <w14:schemeClr w14:val="tx1"/>
            </w14:solidFill>
          </w14:textFill>
        </w:rPr>
        <w:t>院校设立养老服务相关专业奖补项目</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奖补</w:t>
      </w:r>
      <w:r>
        <w:rPr>
          <w:rFonts w:ascii="黑体" w:hAnsi="黑体" w:eastAsia="黑体"/>
          <w:color w:val="000000" w:themeColor="text1"/>
          <w:sz w:val="32"/>
          <w:szCs w:val="32"/>
          <w14:textFill>
            <w14:solidFill>
              <w14:schemeClr w14:val="tx1"/>
            </w14:solidFill>
          </w14:textFill>
        </w:rPr>
        <w:t>对象</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本省行政区域范围内经有关主管部门批准设立养老服务相关专业，能够开展正常教学的高等院校、市级及以上中等职业学校（含技工院校）。</w:t>
      </w:r>
    </w:p>
    <w:p>
      <w:pPr>
        <w:spacing w:line="600" w:lineRule="exact"/>
        <w:ind w:firstLine="640" w:firstLineChars="200"/>
        <w:rPr>
          <w:rFonts w:ascii="Times New Roman" w:eastAsia="黑体"/>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奖补标准</w:t>
      </w:r>
      <w:r>
        <w:rPr>
          <w:rFonts w:hint="eastAsia" w:ascii="黑体" w:hAnsi="黑体" w:eastAsia="黑体"/>
          <w:color w:val="000000" w:themeColor="text1"/>
          <w:sz w:val="32"/>
          <w:szCs w:val="32"/>
          <w14:textFill>
            <w14:solidFill>
              <w14:schemeClr w14:val="tx1"/>
            </w14:solidFill>
          </w14:textFill>
        </w:rPr>
        <w:t>：</w:t>
      </w:r>
      <w:r>
        <w:rPr>
          <w:rFonts w:ascii="Times New Roman" w:eastAsia="仿宋_GB2312"/>
          <w:color w:val="000000" w:themeColor="text1"/>
          <w:sz w:val="32"/>
          <w:szCs w:val="32"/>
          <w14:textFill>
            <w14:solidFill>
              <w14:schemeClr w14:val="tx1"/>
            </w14:solidFill>
          </w14:textFill>
        </w:rPr>
        <w:t>对符合条件的高等院校、中等职业学校（含技工院校），省级对每处分别给予 100 万元、80万元一次性奖补。</w:t>
      </w:r>
    </w:p>
    <w:p>
      <w:pPr>
        <w:spacing w:line="600" w:lineRule="exact"/>
        <w:ind w:firstLine="643" w:firstLineChars="200"/>
        <w:rPr>
          <w:rFonts w:ascii="仿宋_GB2312" w:eastAsia="仿宋_GB2312"/>
          <w:b/>
          <w:bCs/>
          <w:color w:val="000000" w:themeColor="text1"/>
          <w:sz w:val="32"/>
          <w:szCs w:val="32"/>
          <w14:textFill>
            <w14:solidFill>
              <w14:schemeClr w14:val="tx1"/>
            </w14:solidFill>
          </w14:textFill>
        </w:rPr>
      </w:pPr>
      <w:r>
        <w:rPr>
          <w:rFonts w:hint="eastAsia" w:ascii="仿宋_GB2312" w:eastAsia="仿宋_GB2312"/>
          <w:b/>
          <w:bCs/>
          <w:color w:val="000000" w:themeColor="text1"/>
          <w:sz w:val="32"/>
          <w:szCs w:val="32"/>
          <w14:textFill>
            <w14:solidFill>
              <w14:schemeClr w14:val="tx1"/>
            </w14:solidFill>
          </w14:textFill>
        </w:rPr>
        <w:t>6.大中专毕业生入职养老服务一次性奖补项目</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奖补</w:t>
      </w:r>
      <w:r>
        <w:rPr>
          <w:rFonts w:ascii="黑体" w:hAnsi="黑体" w:eastAsia="黑体"/>
          <w:color w:val="000000" w:themeColor="text1"/>
          <w:sz w:val="32"/>
          <w:szCs w:val="32"/>
          <w14:textFill>
            <w14:solidFill>
              <w14:schemeClr w14:val="tx1"/>
            </w14:solidFill>
          </w14:textFill>
        </w:rPr>
        <w:t>对象</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本省行政区域范围内在养老机构和社区养老服务机构从事护理、医疗、康复、社工一线岗位工作，持有本科及以上、专科（高职）、中职（技工院校）毕业证书的专职养老服务人员，事业单位在编人员不在奖补范围内。</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奖补标准</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对符合规定条件的本科及以上、专科（高职）、中职（技工院校）毕业入职人员，分别给予2万元、1.5万元、1万元的一次性入职奖补。入职奖补申请人与养老服务机构签订5年以上劳动合同，入职满一年、两年、三年分别按照奖补标准的40%、30%、30%比例发放。</w:t>
      </w:r>
    </w:p>
    <w:p>
      <w:pPr>
        <w:spacing w:line="60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7.养老护理员职业技能等级奖补项目</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奖补</w:t>
      </w:r>
      <w:r>
        <w:rPr>
          <w:rFonts w:ascii="黑体" w:hAnsi="黑体" w:eastAsia="黑体"/>
          <w:color w:val="000000" w:themeColor="text1"/>
          <w:sz w:val="32"/>
          <w:szCs w:val="32"/>
          <w14:textFill>
            <w14:solidFill>
              <w14:schemeClr w14:val="tx1"/>
            </w14:solidFill>
          </w14:textFill>
        </w:rPr>
        <w:t>对象</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2021年1月1日以来，本省行政区域范围内养老机构和社区养老服务机构中取得职业技能等级三级/高级工、二级/技师、一级/高级技师等级的养老护理员，事业单位在编人员不在奖补范围内。</w:t>
      </w:r>
    </w:p>
    <w:p>
      <w:pPr>
        <w:spacing w:line="600" w:lineRule="exact"/>
        <w:ind w:firstLine="640" w:firstLineChars="200"/>
        <w:rPr>
          <w:rFonts w:ascii="Times New Roman" w:eastAsia="仿宋_GB2312"/>
          <w:color w:val="000000" w:themeColor="text1"/>
          <w:sz w:val="32"/>
          <w:szCs w:val="32"/>
          <w14:textFill>
            <w14:solidFill>
              <w14:schemeClr w14:val="tx1"/>
            </w14:solidFill>
          </w14:textFill>
        </w:rPr>
      </w:pPr>
      <w:r>
        <w:rPr>
          <w:rFonts w:ascii="黑体" w:hAnsi="黑体" w:eastAsia="黑体"/>
          <w:color w:val="000000" w:themeColor="text1"/>
          <w:sz w:val="32"/>
          <w:szCs w:val="32"/>
          <w14:textFill>
            <w14:solidFill>
              <w14:schemeClr w14:val="tx1"/>
            </w14:solidFill>
          </w14:textFill>
        </w:rPr>
        <w:t>奖补标准</w:t>
      </w:r>
      <w:r>
        <w:rPr>
          <w:rFonts w:hint="eastAsia" w:ascii="黑体" w:hAnsi="黑体" w:eastAsia="黑体"/>
          <w:color w:val="000000" w:themeColor="text1"/>
          <w:sz w:val="32"/>
          <w:szCs w:val="32"/>
          <w14:textFill>
            <w14:solidFill>
              <w14:schemeClr w14:val="tx1"/>
            </w14:solidFill>
          </w14:textFill>
        </w:rPr>
        <w:t>：</w:t>
      </w:r>
      <w:r>
        <w:rPr>
          <w:rFonts w:hint="eastAsia" w:ascii="Times New Roman" w:eastAsia="仿宋_GB2312"/>
          <w:color w:val="000000" w:themeColor="text1"/>
          <w:sz w:val="32"/>
          <w:szCs w:val="32"/>
          <w14:textFill>
            <w14:solidFill>
              <w14:schemeClr w14:val="tx1"/>
            </w14:solidFill>
          </w14:textFill>
        </w:rPr>
        <w:t>对符合条件的取得三级/高级工、二级/技师、一级/高级技师职业技能等级的养老护理员，分别给予3000元、4000元、5000元的一次性奖补。已申领高级工或技师技能等级奖补、符合更高一级奖补条件的，补齐相应差额。同一等级的奖补只能申请一次。</w:t>
      </w:r>
    </w:p>
    <w:tbl>
      <w:tblPr>
        <w:tblStyle w:val="5"/>
        <w:tblW w:w="4750" w:type="pct"/>
        <w:jc w:val="center"/>
        <w:tblCellSpacing w:w="0" w:type="dxa"/>
        <w:tblLayout w:type="autofit"/>
        <w:tblCellMar>
          <w:top w:w="0" w:type="dxa"/>
          <w:left w:w="0" w:type="dxa"/>
          <w:bottom w:w="0" w:type="dxa"/>
          <w:right w:w="0" w:type="dxa"/>
        </w:tblCellMar>
      </w:tblPr>
      <w:tblGrid>
        <w:gridCol w:w="8402"/>
      </w:tblGrid>
      <w:tr>
        <w:tblPrEx>
          <w:tblCellMar>
            <w:top w:w="0" w:type="dxa"/>
            <w:left w:w="0" w:type="dxa"/>
            <w:bottom w:w="0" w:type="dxa"/>
            <w:right w:w="0" w:type="dxa"/>
          </w:tblCellMar>
        </w:tblPrEx>
        <w:trPr>
          <w:trHeight w:val="5434" w:hRule="atLeast"/>
          <w:tblCellSpacing w:w="0" w:type="dxa"/>
          <w:jc w:val="center"/>
        </w:trPr>
        <w:tc>
          <w:tcPr>
            <w:tcW w:w="0" w:type="auto"/>
          </w:tcPr>
          <w:p>
            <w:pPr>
              <w:widowControl/>
              <w:spacing w:line="600" w:lineRule="atLeast"/>
              <w:ind w:firstLine="480"/>
              <w:rPr>
                <w:rFonts w:ascii="黑体" w:hAnsi="黑体" w:eastAsia="黑体" w:cs="宋体"/>
                <w:kern w:val="0"/>
                <w:sz w:val="32"/>
                <w:szCs w:val="32"/>
              </w:rPr>
            </w:pPr>
            <w:r>
              <w:rPr>
                <w:rFonts w:hint="eastAsia" w:ascii="黑体" w:hAnsi="黑体" w:eastAsia="黑体" w:cs="宋体"/>
                <w:kern w:val="0"/>
                <w:sz w:val="32"/>
                <w:szCs w:val="32"/>
              </w:rPr>
              <w:t>二、办理流程及时限要求</w:t>
            </w:r>
          </w:p>
          <w:p>
            <w:pPr>
              <w:widowControl/>
              <w:spacing w:line="600" w:lineRule="atLeast"/>
              <w:ind w:firstLine="480"/>
              <w:rPr>
                <w:rFonts w:ascii="楷体_GB2312" w:hAnsi="宋体" w:eastAsia="楷体_GB2312" w:cs="宋体"/>
                <w:kern w:val="0"/>
                <w:sz w:val="32"/>
                <w:szCs w:val="32"/>
              </w:rPr>
            </w:pPr>
            <w:r>
              <w:rPr>
                <w:rFonts w:hint="eastAsia" w:ascii="楷体_GB2312" w:hAnsi="宋体" w:eastAsia="楷体_GB2312" w:cs="宋体"/>
                <w:kern w:val="0"/>
                <w:sz w:val="32"/>
                <w:szCs w:val="32"/>
              </w:rPr>
              <w:t>（一）省级扶持政策办理流程</w:t>
            </w:r>
          </w:p>
          <w:p>
            <w:pPr>
              <w:widowControl/>
              <w:spacing w:line="600" w:lineRule="atLeast"/>
              <w:ind w:firstLine="480"/>
              <w:rPr>
                <w:rFonts w:ascii="仿宋_GB2312" w:hAnsi="宋体" w:eastAsia="仿宋_GB2312" w:cs="宋体"/>
                <w:kern w:val="0"/>
                <w:sz w:val="32"/>
                <w:szCs w:val="32"/>
              </w:rPr>
            </w:pPr>
            <w:r>
              <w:rPr>
                <w:rFonts w:hint="eastAsia" w:ascii="仿宋_GB2312" w:hAnsi="宋体" w:eastAsia="仿宋_GB2312" w:cs="宋体"/>
                <w:kern w:val="0"/>
                <w:sz w:val="32"/>
                <w:szCs w:val="32"/>
              </w:rPr>
              <w:t>省级资助项目按照随时受理、及时审批、即时拨付、年底结算的原则，依托省养老服务管理平台进行申请、审批，规范高效推进项目审批。</w:t>
            </w:r>
          </w:p>
          <w:p>
            <w:pPr>
              <w:widowControl/>
              <w:spacing w:line="600" w:lineRule="atLeast"/>
              <w:ind w:firstLine="480"/>
              <w:rPr>
                <w:rFonts w:hint="eastAsia" w:ascii="仿宋_GB2312" w:hAnsi="宋体" w:eastAsia="仿宋_GB2312" w:cs="宋体"/>
                <w:kern w:val="0"/>
                <w:sz w:val="32"/>
                <w:szCs w:val="32"/>
              </w:rPr>
            </w:pPr>
            <w:r>
              <w:rPr>
                <w:rFonts w:hint="eastAsia" w:ascii="仿宋_GB2312" w:hAnsi="宋体" w:eastAsia="仿宋_GB2312" w:cs="宋体"/>
                <w:kern w:val="0"/>
                <w:sz w:val="32"/>
                <w:szCs w:val="32"/>
              </w:rPr>
              <w:t>各级民政部门根据项目审批职责，分类受理有关补助申请（含县级初审结果申报），于受理之日起 10 个工作日内自行或委托第三方完成材料审核和现场勘查，同步录入省养老管理平台。对民政部门已经掌握的和通过数据共享能够获取的相关证明材料，应免予提供。对各级审批通过的补助项目和补助金额，通过民政系统网站或其他公共媒体进行为期5天的公示。经公示无异议的，报当地财政部门拨付补助资金。</w:t>
            </w:r>
          </w:p>
          <w:p>
            <w:pPr>
              <w:pStyle w:val="4"/>
              <w:shd w:val="clear" w:color="auto" w:fill="FFFFFF"/>
              <w:spacing w:before="0" w:beforeAutospacing="0" w:after="0" w:afterAutospacing="0"/>
              <w:ind w:firstLine="480"/>
              <w:jc w:val="both"/>
              <w:rPr>
                <w:rFonts w:ascii="黑体" w:hAnsi="黑体" w:eastAsia="黑体"/>
                <w:b/>
                <w:sz w:val="32"/>
                <w:szCs w:val="32"/>
              </w:rPr>
            </w:pPr>
            <w:r>
              <w:rPr>
                <w:rStyle w:val="7"/>
                <w:rFonts w:hint="eastAsia" w:ascii="黑体" w:hAnsi="黑体" w:eastAsia="黑体"/>
                <w:b w:val="0"/>
                <w:sz w:val="32"/>
                <w:szCs w:val="32"/>
              </w:rPr>
              <w:t>三、办理地点及联系电话</w:t>
            </w:r>
          </w:p>
          <w:p>
            <w:pPr>
              <w:pStyle w:val="4"/>
              <w:shd w:val="clear" w:color="auto" w:fill="FFFFFF"/>
              <w:spacing w:before="0" w:beforeAutospacing="0" w:after="0" w:afterAutospacing="0"/>
              <w:ind w:firstLine="480"/>
              <w:jc w:val="both"/>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办理单位：</w:t>
            </w:r>
            <w:r>
              <w:rPr>
                <w:rFonts w:hint="eastAsia" w:ascii="仿宋_GB2312" w:eastAsia="仿宋_GB2312" w:cs="宋体"/>
                <w:kern w:val="0"/>
                <w:sz w:val="32"/>
                <w:szCs w:val="32"/>
                <w:lang w:val="en-US" w:eastAsia="zh-CN" w:bidi="ar-SA"/>
              </w:rPr>
              <w:t>农业农村与民政事业中心民政科</w:t>
            </w:r>
          </w:p>
          <w:p>
            <w:pPr>
              <w:pStyle w:val="4"/>
              <w:shd w:val="clear" w:color="auto" w:fill="FFFFFF"/>
              <w:spacing w:before="0" w:beforeAutospacing="0" w:after="0" w:afterAutospacing="0"/>
              <w:ind w:firstLine="480"/>
              <w:jc w:val="both"/>
              <w:rPr>
                <w:rFonts w:hint="default" w:ascii="仿宋_GB2312"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办理地址：</w:t>
            </w:r>
            <w:r>
              <w:rPr>
                <w:rFonts w:hint="eastAsia" w:ascii="仿宋_GB2312" w:eastAsia="仿宋_GB2312" w:cs="宋体"/>
                <w:kern w:val="0"/>
                <w:sz w:val="32"/>
                <w:szCs w:val="32"/>
                <w:lang w:val="en-US" w:eastAsia="zh-CN" w:bidi="ar-SA"/>
              </w:rPr>
              <w:t>天鸿路36号</w:t>
            </w:r>
          </w:p>
          <w:p>
            <w:pPr>
              <w:pStyle w:val="4"/>
              <w:shd w:val="clear" w:color="auto" w:fill="FFFFFF"/>
              <w:spacing w:before="0" w:beforeAutospacing="0" w:after="0" w:afterAutospacing="0"/>
              <w:ind w:firstLine="480"/>
              <w:jc w:val="both"/>
              <w:rPr>
                <w:rFonts w:ascii="黑体" w:hAnsi="黑体" w:eastAsia="黑体"/>
                <w:b/>
                <w:sz w:val="32"/>
                <w:szCs w:val="32"/>
              </w:rPr>
            </w:pPr>
            <w:r>
              <w:rPr>
                <w:rFonts w:hint="eastAsia" w:ascii="仿宋_GB2312" w:hAnsi="宋体" w:eastAsia="仿宋_GB2312" w:cs="宋体"/>
                <w:kern w:val="0"/>
                <w:sz w:val="32"/>
                <w:szCs w:val="32"/>
                <w:lang w:val="en-US" w:eastAsia="zh-CN" w:bidi="ar-SA"/>
              </w:rPr>
              <w:t>联系电话：</w:t>
            </w:r>
            <w:r>
              <w:rPr>
                <w:rFonts w:hint="eastAsia" w:ascii="仿宋_GB2312" w:eastAsia="仿宋_GB2312" w:cs="宋体"/>
                <w:kern w:val="0"/>
                <w:sz w:val="32"/>
                <w:szCs w:val="32"/>
                <w:lang w:val="en-US" w:eastAsia="zh-CN" w:bidi="ar-SA"/>
              </w:rPr>
              <w:t>05332341826</w:t>
            </w:r>
            <w:r>
              <w:rPr>
                <w:rStyle w:val="7"/>
                <w:rFonts w:hint="eastAsia" w:ascii="黑体" w:hAnsi="黑体" w:eastAsia="黑体"/>
                <w:b w:val="0"/>
                <w:sz w:val="32"/>
                <w:szCs w:val="32"/>
              </w:rPr>
              <w:t>四、办理时间</w:t>
            </w:r>
          </w:p>
          <w:p>
            <w:pPr>
              <w:pStyle w:val="4"/>
              <w:shd w:val="clear" w:color="auto" w:fill="FFFFFF"/>
              <w:spacing w:before="0" w:beforeAutospacing="0" w:after="0" w:afterAutospacing="0"/>
              <w:ind w:firstLine="480"/>
              <w:jc w:val="both"/>
              <w:rPr>
                <w:rFonts w:ascii="仿宋_GB2312" w:hAnsi="微软雅黑" w:eastAsia="仿宋_GB2312"/>
                <w:sz w:val="32"/>
                <w:szCs w:val="32"/>
              </w:rPr>
            </w:pPr>
            <w:r>
              <w:rPr>
                <w:rFonts w:hint="eastAsia" w:ascii="仿宋_GB2312" w:hAnsi="微软雅黑" w:eastAsia="仿宋_GB2312"/>
                <w:sz w:val="32"/>
                <w:szCs w:val="32"/>
              </w:rPr>
              <w:t>周一至周五：上午9:00-12:00，下午13:</w:t>
            </w:r>
            <w:r>
              <w:rPr>
                <w:rFonts w:hint="eastAsia" w:ascii="仿宋_GB2312" w:hAnsi="微软雅黑" w:eastAsia="仿宋_GB2312"/>
                <w:sz w:val="32"/>
                <w:szCs w:val="32"/>
                <w:lang w:val="en-US" w:eastAsia="zh-CN"/>
              </w:rPr>
              <w:t>3</w:t>
            </w:r>
            <w:r>
              <w:rPr>
                <w:rFonts w:hint="eastAsia" w:ascii="仿宋_GB2312" w:hAnsi="微软雅黑" w:eastAsia="仿宋_GB2312"/>
                <w:sz w:val="32"/>
                <w:szCs w:val="32"/>
              </w:rPr>
              <w:t>0—17:00</w:t>
            </w:r>
          </w:p>
          <w:p>
            <w:pPr>
              <w:widowControl/>
              <w:shd w:val="clear" w:color="auto" w:fill="FFFFFF"/>
              <w:spacing w:line="360" w:lineRule="atLeast"/>
              <w:ind w:firstLine="480"/>
              <w:jc w:val="left"/>
              <w:rPr>
                <w:rFonts w:ascii="黑体" w:hAnsi="黑体" w:eastAsia="黑体" w:cs="宋体"/>
                <w:kern w:val="0"/>
                <w:sz w:val="32"/>
                <w:szCs w:val="32"/>
              </w:rPr>
            </w:pPr>
          </w:p>
        </w:tc>
      </w:tr>
    </w:tbl>
    <w:p>
      <w:pPr>
        <w:rPr>
          <w:sz w:val="32"/>
          <w:szCs w:val="32"/>
        </w:rPr>
      </w:pPr>
    </w:p>
    <w:p>
      <w:pPr>
        <w:spacing w:line="600" w:lineRule="exact"/>
        <w:ind w:firstLine="640" w:firstLineChars="200"/>
        <w:rPr>
          <w:rFonts w:ascii="Times New Roman" w:eastAsia="黑体"/>
          <w:color w:val="000000" w:themeColor="text1"/>
          <w:sz w:val="32"/>
          <w:szCs w:val="32"/>
          <w14:textFill>
            <w14:solidFill>
              <w14:schemeClr w14:val="tx1"/>
            </w14:solidFill>
          </w14:textFill>
        </w:rPr>
      </w:pPr>
    </w:p>
    <w:sectPr>
      <w:pgSz w:w="11906" w:h="16838"/>
      <w:pgMar w:top="1871" w:right="1531" w:bottom="158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E82"/>
    <w:rsid w:val="00006488"/>
    <w:rsid w:val="000C1501"/>
    <w:rsid w:val="00182DB6"/>
    <w:rsid w:val="00192EF8"/>
    <w:rsid w:val="002460C2"/>
    <w:rsid w:val="004F7FBC"/>
    <w:rsid w:val="00522EE4"/>
    <w:rsid w:val="0072708B"/>
    <w:rsid w:val="008A33BF"/>
    <w:rsid w:val="008D18B2"/>
    <w:rsid w:val="00971540"/>
    <w:rsid w:val="009D758E"/>
    <w:rsid w:val="00BC60E0"/>
    <w:rsid w:val="00C40F59"/>
    <w:rsid w:val="00C56D9B"/>
    <w:rsid w:val="00D21D70"/>
    <w:rsid w:val="00D30172"/>
    <w:rsid w:val="00F75E82"/>
    <w:rsid w:val="00FF77E7"/>
    <w:rsid w:val="2EB120B0"/>
    <w:rsid w:val="32D5155E"/>
    <w:rsid w:val="552F1A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qFormat/>
    <w:uiPriority w:val="0"/>
    <w:rPr>
      <w:b/>
      <w:bCs/>
    </w:rPr>
  </w:style>
  <w:style w:type="character" w:customStyle="1" w:styleId="8">
    <w:name w:val="页眉 Char"/>
    <w:basedOn w:val="6"/>
    <w:link w:val="3"/>
    <w:qFormat/>
    <w:uiPriority w:val="99"/>
    <w:rPr>
      <w:sz w:val="18"/>
      <w:szCs w:val="18"/>
    </w:rPr>
  </w:style>
  <w:style w:type="character" w:customStyle="1" w:styleId="9">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Pages>
  <Words>307</Words>
  <Characters>1751</Characters>
  <Lines>14</Lines>
  <Paragraphs>4</Paragraphs>
  <TotalTime>195</TotalTime>
  <ScaleCrop>false</ScaleCrop>
  <LinksUpToDate>false</LinksUpToDate>
  <CharactersWithSpaces>2054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2021-04-13T03:47:00Z</dcterms:created>
  <dc:creator>MZT</dc:creator>
  <cp:lastModifiedBy>lenovo</cp:lastModifiedBy>
  <dcterms:modified xsi:type="dcterms:W3CDTF">2021-04-15T03:21:33Z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