
<file path=[Content_Types].xml><?xml version="1.0" encoding="utf-8"?>
<Types xmlns="http://schemas.openxmlformats.org/package/2006/content-types">
  <Default Extension="xml" ContentType="application/xml"/>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jc w:val="center"/>
        <w:rPr>
          <w:rFonts w:hint="eastAsia" w:ascii="方正小标宋_GBK" w:hAnsi="方正小标宋_GBK" w:eastAsia="方正小标宋_GBK" w:cs="方正小标宋_GBK"/>
          <w:sz w:val="48"/>
        </w:rPr>
      </w:pPr>
      <w:r>
        <w:rPr>
          <w:rFonts w:hint="eastAsia" w:ascii="方正小标宋_GBK" w:hAnsi="方正小标宋_GBK" w:eastAsia="方正小标宋_GBK" w:cs="方正小标宋_GBK"/>
          <w:sz w:val="48"/>
        </w:rPr>
        <w:t>淄博高新技术产业开发区</w:t>
      </w:r>
    </w:p>
    <w:p>
      <w:pPr>
        <w:spacing w:beforeLines="0" w:afterLines="0"/>
        <w:jc w:val="center"/>
        <w:rPr>
          <w:rFonts w:hint="eastAsia" w:ascii="方正小标宋_GBK" w:hAnsi="方正小标宋_GBK" w:eastAsia="方正小标宋_GBK" w:cs="方正小标宋_GBK"/>
          <w:sz w:val="48"/>
        </w:rPr>
      </w:pPr>
      <w:r>
        <w:rPr>
          <w:rFonts w:hint="eastAsia" w:ascii="方正小标宋_GBK" w:hAnsi="方正小标宋_GBK" w:eastAsia="方正小标宋_GBK" w:cs="方正小标宋_GBK"/>
          <w:sz w:val="48"/>
        </w:rPr>
        <w:t>20</w:t>
      </w:r>
      <w:r>
        <w:rPr>
          <w:rFonts w:hint="eastAsia" w:ascii="方正小标宋_GBK" w:hAnsi="方正小标宋_GBK" w:eastAsia="方正小标宋_GBK" w:cs="方正小标宋_GBK"/>
          <w:sz w:val="48"/>
          <w:lang w:val="en-US" w:eastAsia="zh-CN"/>
        </w:rPr>
        <w:t>20</w:t>
      </w:r>
      <w:r>
        <w:rPr>
          <w:rFonts w:hint="eastAsia" w:ascii="方正小标宋_GBK" w:hAnsi="方正小标宋_GBK" w:eastAsia="方正小标宋_GBK" w:cs="方正小标宋_GBK"/>
          <w:sz w:val="48"/>
        </w:rPr>
        <w:t>年政府信息公开年度报告</w:t>
      </w:r>
    </w:p>
    <w:p>
      <w:pPr>
        <w:keepNext w:val="0"/>
        <w:keepLines w:val="0"/>
        <w:pageBreakBefore w:val="0"/>
        <w:widowControl/>
        <w:kinsoku/>
        <w:wordWrap w:val="0"/>
        <w:overflowPunct/>
        <w:topLinePunct w:val="0"/>
        <w:autoSpaceDE/>
        <w:autoSpaceDN/>
        <w:bidi w:val="0"/>
        <w:adjustRightInd/>
        <w:snapToGrid/>
        <w:spacing w:beforeLines="0" w:afterLines="0"/>
        <w:ind w:firstLine="560" w:firstLineChars="200"/>
        <w:jc w:val="left"/>
        <w:textAlignment w:val="auto"/>
        <w:rPr>
          <w:rFonts w:hint="eastAsia" w:asciiTheme="minorEastAsia" w:hAnsiTheme="minorEastAsia" w:eastAsiaTheme="minorEastAsia" w:cstheme="minorEastAsia"/>
          <w:sz w:val="28"/>
          <w:szCs w:val="28"/>
        </w:rPr>
      </w:pPr>
    </w:p>
    <w:p>
      <w:pPr>
        <w:keepNext w:val="0"/>
        <w:keepLines w:val="0"/>
        <w:pageBreakBefore w:val="0"/>
        <w:widowControl/>
        <w:kinsoku/>
        <w:wordWrap w:val="0"/>
        <w:overflowPunct/>
        <w:topLinePunct w:val="0"/>
        <w:autoSpaceDE/>
        <w:autoSpaceDN/>
        <w:bidi w:val="0"/>
        <w:adjustRightInd/>
        <w:snapToGrid/>
        <w:spacing w:beforeLines="0" w:afterLines="0"/>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本报告是根据《中华人民共和国政府信息公开条例》（以下简称《条例》）及</w:t>
      </w:r>
      <w:r>
        <w:rPr>
          <w:rFonts w:hint="eastAsia" w:ascii="仿宋_GB2312" w:hAnsi="仿宋_GB2312" w:eastAsia="仿宋_GB2312" w:cs="仿宋_GB2312"/>
          <w:sz w:val="32"/>
          <w:szCs w:val="32"/>
          <w:lang w:eastAsia="zh-CN"/>
        </w:rPr>
        <w:t>省市政府有关</w:t>
      </w:r>
      <w:r>
        <w:rPr>
          <w:rFonts w:hint="eastAsia" w:ascii="仿宋_GB2312" w:hAnsi="仿宋_GB2312" w:eastAsia="仿宋_GB2312" w:cs="仿宋_GB2312"/>
          <w:sz w:val="32"/>
          <w:szCs w:val="32"/>
        </w:rPr>
        <w:t>文件</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要求，报告中所列数据的统计期限自20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 1月1日起至20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年12月31日止。本报告可在淄博高新区门户网</w:t>
      </w:r>
      <w:r>
        <w:rPr>
          <w:rFonts w:hint="eastAsia" w:ascii="仿宋_GB2312" w:hAnsi="仿宋_GB2312" w:eastAsia="仿宋_GB2312" w:cs="仿宋_GB2312"/>
          <w:sz w:val="32"/>
          <w:szCs w:val="32"/>
          <w:lang w:eastAsia="zh-CN"/>
        </w:rPr>
        <w:t>站</w:t>
      </w:r>
      <w:r>
        <w:rPr>
          <w:rFonts w:hint="eastAsia" w:ascii="仿宋_GB2312" w:hAnsi="仿宋_GB2312" w:eastAsia="仿宋_GB2312" w:cs="仿宋_GB2312"/>
          <w:sz w:val="32"/>
          <w:szCs w:val="32"/>
        </w:rPr>
        <w:t>（http://www.china-zibo.gov.cn）下载。如对本报告有任何疑问，请与淄博高新区管委会办公室联系（地址：淄博市张店区柳泉路109号1008室；联系电话：3585321）。</w:t>
      </w:r>
    </w:p>
    <w:p>
      <w:pPr>
        <w:numPr>
          <w:ilvl w:val="0"/>
          <w:numId w:val="0"/>
        </w:numPr>
        <w:spacing w:beforeLines="0" w:afterLines="0"/>
        <w:ind w:firstLine="642"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一、基本</w:t>
      </w:r>
      <w:r>
        <w:rPr>
          <w:rFonts w:hint="eastAsia" w:ascii="仿宋_GB2312" w:hAnsi="仿宋_GB2312" w:eastAsia="仿宋_GB2312" w:cs="仿宋_GB2312"/>
          <w:b/>
          <w:bCs/>
          <w:sz w:val="32"/>
          <w:szCs w:val="32"/>
        </w:rPr>
        <w:t>情况</w:t>
      </w:r>
    </w:p>
    <w:p>
      <w:pPr>
        <w:numPr>
          <w:ilvl w:val="0"/>
          <w:numId w:val="0"/>
        </w:numPr>
        <w:spacing w:beforeLines="0" w:afterLines="0"/>
        <w:ind w:firstLine="642"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（一）</w:t>
      </w:r>
      <w:r>
        <w:rPr>
          <w:rFonts w:hint="eastAsia" w:ascii="仿宋_GB2312" w:hAnsi="仿宋_GB2312" w:eastAsia="仿宋_GB2312" w:cs="仿宋_GB2312"/>
          <w:b/>
          <w:bCs/>
          <w:sz w:val="32"/>
          <w:szCs w:val="32"/>
        </w:rPr>
        <w:t>主动公开情况</w:t>
      </w:r>
    </w:p>
    <w:p>
      <w:pPr>
        <w:numPr>
          <w:ilvl w:val="0"/>
          <w:numId w:val="0"/>
        </w:numPr>
        <w:spacing w:beforeLines="0" w:afterLines="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高新</w:t>
      </w:r>
      <w:r>
        <w:rPr>
          <w:rFonts w:hint="eastAsia" w:ascii="仿宋_GB2312" w:hAnsi="仿宋_GB2312" w:eastAsia="仿宋_GB2312" w:cs="仿宋_GB2312"/>
          <w:sz w:val="32"/>
          <w:szCs w:val="32"/>
        </w:rPr>
        <w:t>区认真落实党中央、国务院，省委、省政府，市委、市政府关于全面推进政务公开工作的系列部署，坚持“公开为常态、不公开为例外”的原则，结合工作实际，加大公开力度，注重公开实效，严格监督考核，</w:t>
      </w:r>
      <w:r>
        <w:rPr>
          <w:rFonts w:hint="eastAsia" w:ascii="仿宋_GB2312" w:hAnsi="仿宋_GB2312" w:eastAsia="仿宋_GB2312" w:cs="仿宋_GB2312"/>
          <w:sz w:val="32"/>
          <w:szCs w:val="32"/>
          <w:lang w:eastAsia="zh-CN"/>
        </w:rPr>
        <w:t>持续</w:t>
      </w:r>
      <w:r>
        <w:rPr>
          <w:rFonts w:hint="eastAsia" w:ascii="仿宋_GB2312" w:hAnsi="仿宋_GB2312" w:eastAsia="仿宋_GB2312" w:cs="仿宋_GB2312"/>
          <w:sz w:val="32"/>
          <w:szCs w:val="32"/>
        </w:rPr>
        <w:t>推进政府信息公开工作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依法保障了人民群众的知情权、参与权和监督权。</w:t>
      </w:r>
      <w:r>
        <w:rPr>
          <w:rFonts w:hint="eastAsia" w:ascii="仿宋_GB2312" w:hAnsi="仿宋_GB2312" w:eastAsia="仿宋_GB2312" w:cs="仿宋_GB2312"/>
          <w:sz w:val="32"/>
          <w:szCs w:val="32"/>
          <w:lang w:val="en-US" w:eastAsia="zh-CN"/>
        </w:rPr>
        <w:t>2020年</w:t>
      </w:r>
      <w:r>
        <w:rPr>
          <w:rFonts w:hint="eastAsia" w:ascii="仿宋_GB2312" w:hAnsi="仿宋_GB2312" w:eastAsia="仿宋_GB2312" w:cs="仿宋_GB2312"/>
          <w:sz w:val="32"/>
          <w:szCs w:val="32"/>
          <w:lang w:eastAsia="zh-CN"/>
        </w:rPr>
        <w:t>通过高新区政府网站</w:t>
      </w:r>
      <w:r>
        <w:rPr>
          <w:rFonts w:hint="eastAsia" w:ascii="仿宋_GB2312" w:hAnsi="仿宋_GB2312" w:eastAsia="仿宋_GB2312" w:cs="仿宋_GB2312"/>
          <w:sz w:val="32"/>
          <w:szCs w:val="32"/>
        </w:rPr>
        <w:t>，及时公开相关政策文件和工作动态。同时，充分利用新闻媒体、微信微博等新媒体手段，主动公开政府信息，保障公民、法人或其他组织依法获取政府信息。年内</w:t>
      </w:r>
      <w:r>
        <w:rPr>
          <w:rFonts w:hint="eastAsia" w:ascii="仿宋_GB2312" w:hAnsi="仿宋_GB2312" w:eastAsia="仿宋_GB2312" w:cs="仿宋_GB2312"/>
          <w:sz w:val="32"/>
          <w:szCs w:val="32"/>
          <w:lang w:eastAsia="zh-CN"/>
        </w:rPr>
        <w:t>通过网站</w:t>
      </w:r>
      <w:r>
        <w:rPr>
          <w:rFonts w:hint="eastAsia" w:ascii="仿宋_GB2312" w:hAnsi="仿宋_GB2312" w:eastAsia="仿宋_GB2312" w:cs="仿宋_GB2312"/>
          <w:sz w:val="32"/>
          <w:szCs w:val="32"/>
        </w:rPr>
        <w:t>依法依规主动公开政府信息</w:t>
      </w:r>
      <w:r>
        <w:rPr>
          <w:rFonts w:hint="eastAsia" w:ascii="仿宋_GB2312" w:hAnsi="仿宋_GB2312" w:eastAsia="仿宋_GB2312" w:cs="仿宋_GB2312"/>
          <w:sz w:val="32"/>
          <w:szCs w:val="32"/>
          <w:lang w:val="en-US" w:eastAsia="zh-CN"/>
        </w:rPr>
        <w:t>1476</w:t>
      </w:r>
      <w:r>
        <w:rPr>
          <w:rFonts w:hint="eastAsia" w:ascii="仿宋_GB2312" w:hAnsi="仿宋_GB2312" w:eastAsia="仿宋_GB2312" w:cs="仿宋_GB2312"/>
          <w:sz w:val="32"/>
          <w:szCs w:val="32"/>
        </w:rPr>
        <w:t>条。共公开了</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次工委会议。提案办理情况</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eastAsia="zh-CN"/>
        </w:rPr>
        <w:t>政务</w:t>
      </w:r>
      <w:r>
        <w:rPr>
          <w:rFonts w:hint="eastAsia" w:ascii="仿宋_GB2312" w:hAnsi="仿宋_GB2312" w:eastAsia="仿宋_GB2312" w:cs="仿宋_GB2312"/>
          <w:sz w:val="32"/>
          <w:szCs w:val="32"/>
        </w:rPr>
        <w:t>微博信息发布量</w:t>
      </w:r>
      <w:r>
        <w:rPr>
          <w:rFonts w:hint="eastAsia" w:ascii="仿宋_GB2312" w:hAnsi="仿宋_GB2312" w:eastAsia="仿宋_GB2312" w:cs="仿宋_GB2312"/>
          <w:sz w:val="32"/>
          <w:szCs w:val="32"/>
          <w:lang w:val="en-US" w:eastAsia="zh-CN"/>
        </w:rPr>
        <w:t>912</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eastAsia="zh-CN"/>
        </w:rPr>
        <w:t>，政务</w:t>
      </w:r>
      <w:r>
        <w:rPr>
          <w:rFonts w:hint="eastAsia" w:ascii="仿宋_GB2312" w:hAnsi="仿宋_GB2312" w:eastAsia="仿宋_GB2312" w:cs="仿宋_GB2312"/>
          <w:sz w:val="32"/>
          <w:szCs w:val="32"/>
        </w:rPr>
        <w:t>微信信息发布量</w:t>
      </w:r>
      <w:r>
        <w:rPr>
          <w:rFonts w:hint="eastAsia" w:ascii="仿宋_GB2312" w:hAnsi="仿宋_GB2312" w:eastAsia="仿宋_GB2312" w:cs="仿宋_GB2312"/>
          <w:sz w:val="32"/>
          <w:szCs w:val="32"/>
          <w:lang w:val="en-US" w:eastAsia="zh-CN"/>
        </w:rPr>
        <w:t>1433</w:t>
      </w:r>
      <w:r>
        <w:rPr>
          <w:rFonts w:hint="eastAsia" w:ascii="仿宋_GB2312" w:hAnsi="仿宋_GB2312" w:eastAsia="仿宋_GB2312" w:cs="仿宋_GB2312"/>
          <w:sz w:val="32"/>
          <w:szCs w:val="32"/>
        </w:rPr>
        <w:t>条。</w:t>
      </w:r>
    </w:p>
    <w:p>
      <w:pPr>
        <w:numPr>
          <w:ilvl w:val="0"/>
          <w:numId w:val="0"/>
        </w:numPr>
        <w:spacing w:beforeLines="0" w:afterLines="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462270" cy="2090420"/>
            <wp:effectExtent l="0" t="0" r="8890" b="12700"/>
            <wp:docPr id="5" name="图片 5"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true"/>
                    </pic:cNvPicPr>
                  </pic:nvPicPr>
                  <pic:blipFill>
                    <a:blip r:embed="rId4"/>
                    <a:stretch>
                      <a:fillRect/>
                    </a:stretch>
                  </pic:blipFill>
                  <pic:spPr>
                    <a:xfrm>
                      <a:off x="0" y="0"/>
                      <a:ext cx="5462270" cy="2090420"/>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leftChars="200" w:right="0" w:rightChars="0" w:firstLine="320" w:firstLineChars="100"/>
        <w:jc w:val="both"/>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1.持续</w:t>
      </w:r>
      <w:r>
        <w:rPr>
          <w:rFonts w:hint="eastAsia" w:ascii="仿宋_GB2312" w:hAnsi="仿宋_GB2312" w:eastAsia="仿宋_GB2312" w:cs="仿宋_GB2312"/>
          <w:kern w:val="2"/>
          <w:sz w:val="32"/>
          <w:szCs w:val="32"/>
        </w:rPr>
        <w:t>推进行政权力信息公开</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right="0" w:rightChars="0"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rPr>
        <w:t>（1）决策公开方面。及时发布2020年年度重大决策事项目录，并通过意见征集栏目广泛征求意见，并将反馈意见及时进行公开；</w:t>
      </w:r>
      <w:r>
        <w:rPr>
          <w:rFonts w:hint="eastAsia" w:ascii="仿宋_GB2312" w:hAnsi="仿宋_GB2312" w:eastAsia="仿宋_GB2312" w:cs="仿宋_GB2312"/>
          <w:sz w:val="32"/>
          <w:szCs w:val="32"/>
        </w:rPr>
        <w:t>共公开了</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次工委会议</w:t>
      </w:r>
      <w:r>
        <w:rPr>
          <w:rFonts w:hint="eastAsia" w:ascii="仿宋_GB2312" w:hAnsi="仿宋_GB2312" w:eastAsia="仿宋_GB2312" w:cs="仿宋_GB2312"/>
          <w:sz w:val="32"/>
          <w:szCs w:val="32"/>
          <w:lang w:eastAsia="zh-CN"/>
        </w:rPr>
        <w:t>，公开了会议议定事项并进行了会议解读；利用政策法规栏目，针对当前热点以及惠民政策等方面，公开发布相关政策文件及解读信息</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lang w:eastAsia="zh-CN"/>
        </w:rPr>
        <w:t>条。</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right="0" w:right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476875" cy="1872615"/>
            <wp:effectExtent l="0" t="0" r="9525" b="1905"/>
            <wp:docPr id="1" name="图片 1" descr="01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01副本"/>
                    <pic:cNvPicPr>
                      <a:picLocks noChangeAspect="true"/>
                    </pic:cNvPicPr>
                  </pic:nvPicPr>
                  <pic:blipFill>
                    <a:blip r:embed="rId5"/>
                    <a:stretch>
                      <a:fillRect/>
                    </a:stretch>
                  </pic:blipFill>
                  <pic:spPr>
                    <a:xfrm>
                      <a:off x="0" y="0"/>
                      <a:ext cx="5476875" cy="1872615"/>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right="0" w:rightChars="0" w:firstLine="640" w:firstLineChars="200"/>
        <w:jc w:val="both"/>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kern w:val="2"/>
          <w:sz w:val="32"/>
          <w:szCs w:val="32"/>
          <w:lang w:eastAsia="zh-CN"/>
        </w:rPr>
        <w:t>管理和服务</w:t>
      </w:r>
      <w:r>
        <w:rPr>
          <w:rFonts w:hint="eastAsia" w:ascii="仿宋_GB2312" w:hAnsi="仿宋_GB2312" w:eastAsia="仿宋_GB2312" w:cs="仿宋_GB2312"/>
          <w:kern w:val="2"/>
          <w:sz w:val="32"/>
          <w:szCs w:val="32"/>
        </w:rPr>
        <w:t>信息公开</w:t>
      </w:r>
      <w:r>
        <w:rPr>
          <w:rFonts w:hint="eastAsia" w:ascii="仿宋_GB2312" w:hAnsi="仿宋_GB2312" w:eastAsia="仿宋_GB2312" w:cs="仿宋_GB2312"/>
          <w:kern w:val="2"/>
          <w:sz w:val="32"/>
          <w:szCs w:val="32"/>
          <w:lang w:eastAsia="zh-CN"/>
        </w:rPr>
        <w:t>方面。及时更新发布高新区权责清单；按照“双随机、一公开”工作要求，及时、准确、规范向社会公开随机抽查事项、抽查结果，并根据法律、法规和工作实际情况等进行动态调整。检查结果及时通过国家企业信用信息公示系统(山东)（http://sd.gsxt.gov.cn/index.html）及“信用中国（山东淄博）（http://credit.zibo.gov.cn）”网站公开。</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right="0" w:rightChars="0"/>
        <w:jc w:val="both"/>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eastAsia="zh-CN"/>
        </w:rPr>
        <w:drawing>
          <wp:inline distT="0" distB="0" distL="114300" distR="114300">
            <wp:extent cx="2623185" cy="1536700"/>
            <wp:effectExtent l="0" t="0" r="13335" b="2540"/>
            <wp:docPr id="2" name="图片 2" descr="新建项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新建项目"/>
                    <pic:cNvPicPr>
                      <a:picLocks noChangeAspect="true"/>
                    </pic:cNvPicPr>
                  </pic:nvPicPr>
                  <pic:blipFill>
                    <a:blip r:embed="rId6"/>
                    <a:stretch>
                      <a:fillRect/>
                    </a:stretch>
                  </pic:blipFill>
                  <pic:spPr>
                    <a:xfrm>
                      <a:off x="0" y="0"/>
                      <a:ext cx="2623185" cy="1536700"/>
                    </a:xfrm>
                    <a:prstGeom prst="rect">
                      <a:avLst/>
                    </a:prstGeom>
                  </pic:spPr>
                </pic:pic>
              </a:graphicData>
            </a:graphic>
          </wp:inline>
        </w:drawing>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lang w:eastAsia="zh-CN"/>
        </w:rPr>
        <w:drawing>
          <wp:inline distT="0" distB="0" distL="114300" distR="114300">
            <wp:extent cx="2658745" cy="1520825"/>
            <wp:effectExtent l="0" t="0" r="8255" b="3175"/>
            <wp:docPr id="3" name="图片 3" descr="新建项目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新建项目 (1)"/>
                    <pic:cNvPicPr>
                      <a:picLocks noChangeAspect="true"/>
                    </pic:cNvPicPr>
                  </pic:nvPicPr>
                  <pic:blipFill>
                    <a:blip r:embed="rId7"/>
                    <a:stretch>
                      <a:fillRect/>
                    </a:stretch>
                  </pic:blipFill>
                  <pic:spPr>
                    <a:xfrm>
                      <a:off x="0" y="0"/>
                      <a:ext cx="2658745" cy="1520825"/>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right="0" w:rightChars="0" w:firstLine="640" w:firstLineChars="200"/>
        <w:jc w:val="both"/>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eastAsia="zh-CN"/>
        </w:rPr>
        <w:t>20</w:t>
      </w:r>
      <w:r>
        <w:rPr>
          <w:rFonts w:hint="eastAsia" w:ascii="仿宋_GB2312" w:hAnsi="仿宋_GB2312" w:eastAsia="仿宋_GB2312" w:cs="仿宋_GB2312"/>
          <w:kern w:val="2"/>
          <w:sz w:val="32"/>
          <w:szCs w:val="32"/>
          <w:lang w:val="en-US" w:eastAsia="zh-CN"/>
        </w:rPr>
        <w:t>20</w:t>
      </w:r>
      <w:r>
        <w:rPr>
          <w:rFonts w:hint="eastAsia" w:ascii="仿宋_GB2312" w:hAnsi="仿宋_GB2312" w:eastAsia="仿宋_GB2312" w:cs="仿宋_GB2312"/>
          <w:kern w:val="2"/>
          <w:sz w:val="32"/>
          <w:szCs w:val="32"/>
          <w:lang w:eastAsia="zh-CN"/>
        </w:rPr>
        <w:t>年通过政府网站“双随机、一公开”栏目公开“双随机、一公开”类信息</w:t>
      </w:r>
      <w:r>
        <w:rPr>
          <w:rFonts w:hint="eastAsia" w:ascii="仿宋_GB2312" w:hAnsi="仿宋_GB2312" w:eastAsia="仿宋_GB2312" w:cs="仿宋_GB2312"/>
          <w:kern w:val="2"/>
          <w:sz w:val="32"/>
          <w:szCs w:val="32"/>
          <w:lang w:val="en-US" w:eastAsia="zh-CN"/>
        </w:rPr>
        <w:t>38</w:t>
      </w:r>
      <w:r>
        <w:rPr>
          <w:rFonts w:hint="eastAsia" w:ascii="仿宋_GB2312" w:hAnsi="仿宋_GB2312" w:eastAsia="仿宋_GB2312" w:cs="仿宋_GB2312"/>
          <w:kern w:val="2"/>
          <w:sz w:val="32"/>
          <w:szCs w:val="32"/>
          <w:lang w:eastAsia="zh-CN"/>
        </w:rPr>
        <w:t>条；共发布行政事业性收费目录、政府定价或指导价经营服务性收费清单和政府性基金目录信息</w:t>
      </w:r>
      <w:r>
        <w:rPr>
          <w:rFonts w:hint="eastAsia" w:ascii="仿宋_GB2312" w:hAnsi="仿宋_GB2312" w:eastAsia="仿宋_GB2312" w:cs="仿宋_GB2312"/>
          <w:kern w:val="2"/>
          <w:sz w:val="32"/>
          <w:szCs w:val="32"/>
          <w:lang w:val="en-US" w:eastAsia="zh-CN"/>
        </w:rPr>
        <w:t>12条；及时</w:t>
      </w:r>
      <w:r>
        <w:rPr>
          <w:rFonts w:hint="eastAsia" w:ascii="仿宋_GB2312" w:hAnsi="仿宋_GB2312" w:eastAsia="仿宋_GB2312" w:cs="仿宋_GB2312"/>
          <w:kern w:val="2"/>
          <w:sz w:val="32"/>
          <w:szCs w:val="32"/>
          <w:lang w:eastAsia="zh-CN"/>
        </w:rPr>
        <w:t>发布证明事项目录清单、事项划转清单、政务服务好差评、政务服务办事指南等信息</w:t>
      </w:r>
      <w:r>
        <w:rPr>
          <w:rFonts w:hint="eastAsia" w:ascii="仿宋_GB2312" w:hAnsi="仿宋_GB2312" w:eastAsia="仿宋_GB2312" w:cs="仿宋_GB2312"/>
          <w:kern w:val="2"/>
          <w:sz w:val="32"/>
          <w:szCs w:val="32"/>
          <w:lang w:val="en-US" w:eastAsia="zh-CN"/>
        </w:rPr>
        <w:t>10余条。</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right="0" w:rightChars="0"/>
        <w:jc w:val="both"/>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drawing>
          <wp:inline distT="0" distB="0" distL="114300" distR="114300">
            <wp:extent cx="2637790" cy="1758950"/>
            <wp:effectExtent l="0" t="0" r="13970" b="8890"/>
            <wp:docPr id="17" name="图片 17" descr="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01"/>
                    <pic:cNvPicPr>
                      <a:picLocks noChangeAspect="true"/>
                    </pic:cNvPicPr>
                  </pic:nvPicPr>
                  <pic:blipFill>
                    <a:blip r:embed="rId8"/>
                    <a:stretch>
                      <a:fillRect/>
                    </a:stretch>
                  </pic:blipFill>
                  <pic:spPr>
                    <a:xfrm>
                      <a:off x="0" y="0"/>
                      <a:ext cx="2637790" cy="1758950"/>
                    </a:xfrm>
                    <a:prstGeom prst="rect">
                      <a:avLst/>
                    </a:prstGeom>
                  </pic:spPr>
                </pic:pic>
              </a:graphicData>
            </a:graphic>
          </wp:inline>
        </w:drawing>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lang w:val="en-US" w:eastAsia="zh-CN"/>
        </w:rPr>
        <w:drawing>
          <wp:inline distT="0" distB="0" distL="114300" distR="114300">
            <wp:extent cx="2626360" cy="1750060"/>
            <wp:effectExtent l="0" t="0" r="10160" b="2540"/>
            <wp:docPr id="18" name="图片 18" descr="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02"/>
                    <pic:cNvPicPr>
                      <a:picLocks noChangeAspect="true"/>
                    </pic:cNvPicPr>
                  </pic:nvPicPr>
                  <pic:blipFill>
                    <a:blip r:embed="rId9"/>
                    <a:stretch>
                      <a:fillRect/>
                    </a:stretch>
                  </pic:blipFill>
                  <pic:spPr>
                    <a:xfrm>
                      <a:off x="0" y="0"/>
                      <a:ext cx="2626360" cy="1750060"/>
                    </a:xfrm>
                    <a:prstGeom prst="rect">
                      <a:avLst/>
                    </a:prstGeom>
                  </pic:spPr>
                </pic:pic>
              </a:graphicData>
            </a:graphic>
          </wp:inline>
        </w:drawing>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right="0" w:rightChars="0" w:firstLine="640" w:firstLineChars="200"/>
        <w:jc w:val="both"/>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3）执行和结果公开方面。及时将年度重点工作、实事项目推进及完成情况等向社会主动公开；通过“审计信息”及“执行效果评估”栏目发布相关信息6篇；2020年，高新区承办市政协十二届四次会议委员提案3件，其中主办1件，会办2件，各责任部门实行“三先一后”（先协商，先调研，先走访，后办理）方式，采取电话联系、上门走访、当面征求意见等形式，认真听取委员的意见和建议，杜绝闭门造车、纸上谈兵、敷衍应付现象，确保见面率、答复率、满意率100%。加强对提案办理的催办、督办和检查，在督查中坚持做到查出实效。</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right="0" w:rightChars="0"/>
        <w:jc w:val="center"/>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drawing>
          <wp:inline distT="0" distB="0" distL="114300" distR="114300">
            <wp:extent cx="4292600" cy="2741295"/>
            <wp:effectExtent l="0" t="0" r="5080" b="1905"/>
            <wp:docPr id="11" name="图片 11"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true"/>
                    </pic:cNvPicPr>
                  </pic:nvPicPr>
                  <pic:blipFill>
                    <a:blip r:embed="rId10"/>
                    <a:stretch>
                      <a:fillRect/>
                    </a:stretch>
                  </pic:blipFill>
                  <pic:spPr>
                    <a:xfrm>
                      <a:off x="0" y="0"/>
                      <a:ext cx="4292600" cy="274129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48" w:lineRule="atLeast"/>
        <w:ind w:right="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2.</w:t>
      </w:r>
      <w:r>
        <w:rPr>
          <w:rFonts w:hint="eastAsia" w:ascii="仿宋_GB2312" w:hAnsi="仿宋_GB2312" w:eastAsia="仿宋_GB2312" w:cs="仿宋_GB2312"/>
          <w:kern w:val="2"/>
          <w:sz w:val="32"/>
          <w:szCs w:val="32"/>
          <w:lang w:eastAsia="zh-CN"/>
        </w:rPr>
        <w:t>持续</w:t>
      </w:r>
      <w:r>
        <w:rPr>
          <w:rFonts w:hint="eastAsia" w:ascii="仿宋_GB2312" w:hAnsi="仿宋_GB2312" w:eastAsia="仿宋_GB2312" w:cs="仿宋_GB2312"/>
          <w:kern w:val="2"/>
          <w:sz w:val="32"/>
          <w:szCs w:val="32"/>
        </w:rPr>
        <w:t>推进</w:t>
      </w:r>
      <w:r>
        <w:rPr>
          <w:rFonts w:hint="eastAsia" w:ascii="仿宋_GB2312" w:hAnsi="仿宋_GB2312" w:eastAsia="仿宋_GB2312" w:cs="仿宋_GB2312"/>
          <w:kern w:val="2"/>
          <w:sz w:val="32"/>
          <w:szCs w:val="32"/>
          <w:lang w:eastAsia="zh-CN"/>
        </w:rPr>
        <w:t>重点领域</w:t>
      </w:r>
      <w:r>
        <w:rPr>
          <w:rFonts w:hint="eastAsia" w:ascii="仿宋_GB2312" w:hAnsi="仿宋_GB2312" w:eastAsia="仿宋_GB2312" w:cs="仿宋_GB2312"/>
          <w:kern w:val="2"/>
          <w:sz w:val="32"/>
          <w:szCs w:val="32"/>
        </w:rPr>
        <w:t>信息公开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48" w:lineRule="atLeast"/>
        <w:ind w:left="0" w:right="0" w:firstLine="560"/>
        <w:jc w:val="both"/>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kern w:val="2"/>
          <w:sz w:val="32"/>
          <w:szCs w:val="32"/>
          <w:lang w:val="en-US" w:eastAsia="zh-CN"/>
        </w:rPr>
        <w:t>（1）财政信息方面。</w:t>
      </w:r>
      <w:r>
        <w:rPr>
          <w:rFonts w:hint="eastAsia" w:ascii="仿宋_GB2312" w:hAnsi="仿宋_GB2312" w:eastAsia="仿宋_GB2312" w:cs="仿宋_GB2312"/>
          <w:b w:val="0"/>
          <w:bCs w:val="0"/>
          <w:kern w:val="2"/>
          <w:sz w:val="32"/>
          <w:szCs w:val="32"/>
          <w:lang w:val="en-US" w:eastAsia="zh-CN" w:bidi="ar"/>
        </w:rPr>
        <w:t>通过淄博市预决算公开平台（http://czyjs.zibo.gov.cn:7015/faoup/listController.do?login），公开了政府预决算，所有使用财政拨款的部门和单位均面向社会公开了部门预决算，公开内容更加全面、细化；及时公开政府财政收支及债务信息22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48" w:lineRule="atLeast"/>
        <w:ind w:right="0"/>
        <w:jc w:val="both"/>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drawing>
          <wp:inline distT="0" distB="0" distL="114300" distR="114300">
            <wp:extent cx="5476875" cy="3349625"/>
            <wp:effectExtent l="0" t="0" r="9525" b="3175"/>
            <wp:docPr id="15" name="图片 15" descr="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01"/>
                    <pic:cNvPicPr>
                      <a:picLocks noChangeAspect="true"/>
                    </pic:cNvPicPr>
                  </pic:nvPicPr>
                  <pic:blipFill>
                    <a:blip r:embed="rId11"/>
                    <a:stretch>
                      <a:fillRect/>
                    </a:stretch>
                  </pic:blipFill>
                  <pic:spPr>
                    <a:xfrm>
                      <a:off x="0" y="0"/>
                      <a:ext cx="5476875" cy="3349625"/>
                    </a:xfrm>
                    <a:prstGeom prst="rect">
                      <a:avLst/>
                    </a:prstGeom>
                  </pic:spPr>
                </pic:pic>
              </a:graphicData>
            </a:graphic>
          </wp:inline>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48" w:lineRule="atLeast"/>
        <w:ind w:right="0" w:rightChars="0" w:firstLine="640" w:firstLineChars="200"/>
        <w:jc w:val="both"/>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2）重大建设项目和公共资源配置方面。围绕高新区重点项目批准服务和项目实施方面，公开相关信息17条；通过淄博市住房和城乡建设局（http://js.zibo.gov.cn/col/col9232/index.html）网站公开住房保障的相关信息；通过淄博市公共资源交易平台（http://ggzyjy.zibo.gov.cn/TPFront/dhy/index.html）公开相关公共资源交易信息。</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48" w:lineRule="atLeast"/>
        <w:ind w:right="0" w:rightChars="0"/>
        <w:jc w:val="both"/>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drawing>
          <wp:inline distT="0" distB="0" distL="114300" distR="114300">
            <wp:extent cx="2616835" cy="1577340"/>
            <wp:effectExtent l="0" t="0" r="4445" b="7620"/>
            <wp:docPr id="6" name="图片 6" descr="新建项目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新建项目 (3)"/>
                    <pic:cNvPicPr>
                      <a:picLocks noChangeAspect="true"/>
                    </pic:cNvPicPr>
                  </pic:nvPicPr>
                  <pic:blipFill>
                    <a:blip r:embed="rId12"/>
                    <a:stretch>
                      <a:fillRect/>
                    </a:stretch>
                  </pic:blipFill>
                  <pic:spPr>
                    <a:xfrm>
                      <a:off x="0" y="0"/>
                      <a:ext cx="2616835" cy="1577340"/>
                    </a:xfrm>
                    <a:prstGeom prst="rect">
                      <a:avLst/>
                    </a:prstGeom>
                  </pic:spPr>
                </pic:pic>
              </a:graphicData>
            </a:graphic>
          </wp:inline>
        </w:drawing>
      </w:r>
      <w:r>
        <w:rPr>
          <w:rFonts w:hint="eastAsia" w:ascii="仿宋_GB2312" w:hAnsi="仿宋_GB2312" w:eastAsia="仿宋_GB2312" w:cs="仿宋_GB2312"/>
          <w:b w:val="0"/>
          <w:bCs w:val="0"/>
          <w:kern w:val="2"/>
          <w:sz w:val="32"/>
          <w:szCs w:val="32"/>
          <w:lang w:val="en-US" w:eastAsia="zh-CN" w:bidi="ar"/>
        </w:rPr>
        <w:t xml:space="preserve">  </w:t>
      </w:r>
      <w:r>
        <w:rPr>
          <w:rFonts w:hint="eastAsia" w:ascii="仿宋_GB2312" w:hAnsi="仿宋_GB2312" w:eastAsia="仿宋_GB2312" w:cs="仿宋_GB2312"/>
          <w:b w:val="0"/>
          <w:bCs w:val="0"/>
          <w:kern w:val="2"/>
          <w:sz w:val="32"/>
          <w:szCs w:val="32"/>
          <w:lang w:val="en-US" w:eastAsia="zh-CN" w:bidi="ar"/>
        </w:rPr>
        <w:drawing>
          <wp:inline distT="0" distB="0" distL="114300" distR="114300">
            <wp:extent cx="2632075" cy="1586865"/>
            <wp:effectExtent l="0" t="0" r="4445" b="13335"/>
            <wp:docPr id="7" name="图片 7" descr="新建项目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新建项目 (4)"/>
                    <pic:cNvPicPr>
                      <a:picLocks noChangeAspect="true"/>
                    </pic:cNvPicPr>
                  </pic:nvPicPr>
                  <pic:blipFill>
                    <a:blip r:embed="rId13"/>
                    <a:stretch>
                      <a:fillRect/>
                    </a:stretch>
                  </pic:blipFill>
                  <pic:spPr>
                    <a:xfrm>
                      <a:off x="0" y="0"/>
                      <a:ext cx="2632075" cy="1586865"/>
                    </a:xfrm>
                    <a:prstGeom prst="rect">
                      <a:avLst/>
                    </a:prstGeom>
                  </pic:spPr>
                </pic:pic>
              </a:graphicData>
            </a:graphic>
          </wp:inline>
        </w:drawing>
      </w:r>
    </w:p>
    <w:p>
      <w:pPr>
        <w:pStyle w:val="3"/>
        <w:pageBreakBefore w:val="0"/>
        <w:widowControl/>
        <w:numPr>
          <w:ilvl w:val="0"/>
          <w:numId w:val="0"/>
        </w:numPr>
        <w:kinsoku/>
        <w:wordWrap/>
        <w:overflowPunct/>
        <w:topLinePunct w:val="0"/>
        <w:autoSpaceDE/>
        <w:autoSpaceDN/>
        <w:bidi w:val="0"/>
        <w:adjustRightInd w:val="0"/>
        <w:snapToGrid w:val="0"/>
        <w:spacing w:before="0" w:beforeLines="0" w:after="0" w:afterLines="0" w:line="56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3）重点民生与公益事业方面。对社会救助、社会福利、脱贫攻坚等信息进行公开，不断细化公开内容，并就相关政策进行了解读；通过淄博高新区教育公共服务平台（http://pe.gxqjy.com/）进一步扩大学前教育、义务教育段入学等信息公开范围。及时发布区域内医疗机构数量、布局、床位、大型设备等资源配置公开信息以及随时更新区内公用事业单位相关信息。</w:t>
      </w:r>
    </w:p>
    <w:p>
      <w:pPr>
        <w:numPr>
          <w:ilvl w:val="0"/>
          <w:numId w:val="0"/>
        </w:numPr>
        <w:ind w:left="320" w:hanging="320" w:hanging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780030" cy="1835785"/>
            <wp:effectExtent l="0" t="0" r="8890" b="8255"/>
            <wp:docPr id="8" name="图片 8" descr="新建项目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新建项目 (5)"/>
                    <pic:cNvPicPr>
                      <a:picLocks noChangeAspect="true"/>
                    </pic:cNvPicPr>
                  </pic:nvPicPr>
                  <pic:blipFill>
                    <a:blip r:embed="rId14"/>
                    <a:stretch>
                      <a:fillRect/>
                    </a:stretch>
                  </pic:blipFill>
                  <pic:spPr>
                    <a:xfrm>
                      <a:off x="0" y="0"/>
                      <a:ext cx="2780030" cy="1835785"/>
                    </a:xfrm>
                    <a:prstGeom prst="rect">
                      <a:avLst/>
                    </a:prstGeom>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2614930" cy="1832610"/>
            <wp:effectExtent l="0" t="0" r="6350" b="11430"/>
            <wp:docPr id="16" name="图片 16" descr="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01"/>
                    <pic:cNvPicPr>
                      <a:picLocks noChangeAspect="true"/>
                    </pic:cNvPicPr>
                  </pic:nvPicPr>
                  <pic:blipFill>
                    <a:blip r:embed="rId15"/>
                    <a:stretch>
                      <a:fillRect/>
                    </a:stretch>
                  </pic:blipFill>
                  <pic:spPr>
                    <a:xfrm>
                      <a:off x="0" y="0"/>
                      <a:ext cx="2614930" cy="1832610"/>
                    </a:xfrm>
                    <a:prstGeom prst="rect">
                      <a:avLst/>
                    </a:prstGeom>
                  </pic:spPr>
                </pic:pic>
              </a:graphicData>
            </a:graphic>
          </wp:inline>
        </w:drawing>
      </w:r>
    </w:p>
    <w:p>
      <w:pPr>
        <w:pStyle w:val="3"/>
        <w:pageBreakBefore w:val="0"/>
        <w:widowControl/>
        <w:numPr>
          <w:ilvl w:val="0"/>
          <w:numId w:val="0"/>
        </w:numPr>
        <w:kinsoku/>
        <w:wordWrap/>
        <w:overflowPunct/>
        <w:topLinePunct w:val="0"/>
        <w:autoSpaceDE/>
        <w:autoSpaceDN/>
        <w:bidi w:val="0"/>
        <w:adjustRightInd w:val="0"/>
        <w:snapToGrid w:val="0"/>
        <w:spacing w:before="0" w:beforeLines="0" w:after="0" w:afterLines="0" w:line="560" w:lineRule="exact"/>
        <w:ind w:right="0" w:rightChars="0" w:firstLine="640" w:firstLineChars="200"/>
        <w:textAlignment w:val="auto"/>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val="0"/>
          <w:bCs w:val="0"/>
          <w:kern w:val="2"/>
          <w:sz w:val="32"/>
          <w:szCs w:val="32"/>
          <w:lang w:val="en-US" w:eastAsia="zh-CN" w:bidi="ar"/>
        </w:rPr>
        <w:t>（4）公共监管信息方面。每月对国有企业基本信息、管理信息、经营情况和履职情况等信息进行公开；及时发布相关产品质量监督抽查结果公告和食品药品抽检结果信息10余条；发布应急救援相关信息5条。</w:t>
      </w:r>
    </w:p>
    <w:p>
      <w:pPr>
        <w:numPr>
          <w:ilvl w:val="0"/>
          <w:numId w:val="0"/>
        </w:numPr>
        <w:ind w:left="320" w:hanging="320" w:hangingChars="100"/>
        <w:rPr>
          <w:rFonts w:hint="eastAsia" w:ascii="仿宋_GB2312" w:hAnsi="仿宋_GB2312" w:eastAsia="仿宋_GB2312" w:cs="仿宋_GB2312"/>
          <w:sz w:val="32"/>
          <w:szCs w:val="32"/>
          <w:lang w:val="en-US" w:eastAsia="zh-CN"/>
        </w:rPr>
      </w:pPr>
    </w:p>
    <w:p>
      <w:pPr>
        <w:numPr>
          <w:ilvl w:val="0"/>
          <w:numId w:val="0"/>
        </w:numPr>
        <w:rPr>
          <w:rFonts w:hint="eastAsia"/>
          <w:lang w:val="en-US" w:eastAsia="zh-CN"/>
        </w:rPr>
      </w:pPr>
      <w:r>
        <w:rPr>
          <w:rFonts w:hint="eastAsia"/>
          <w:lang w:val="en-US" w:eastAsia="zh-CN"/>
        </w:rPr>
        <w:drawing>
          <wp:inline distT="0" distB="0" distL="114300" distR="114300">
            <wp:extent cx="5476875" cy="3165475"/>
            <wp:effectExtent l="0" t="0" r="9525" b="4445"/>
            <wp:docPr id="12" name="图片 12" descr="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42"/>
                    <pic:cNvPicPr>
                      <a:picLocks noChangeAspect="true"/>
                    </pic:cNvPicPr>
                  </pic:nvPicPr>
                  <pic:blipFill>
                    <a:blip r:embed="rId16"/>
                    <a:stretch>
                      <a:fillRect/>
                    </a:stretch>
                  </pic:blipFill>
                  <pic:spPr>
                    <a:xfrm>
                      <a:off x="0" y="0"/>
                      <a:ext cx="5476875" cy="3165475"/>
                    </a:xfrm>
                    <a:prstGeom prst="rect">
                      <a:avLst/>
                    </a:prstGeom>
                  </pic:spPr>
                </pic:pic>
              </a:graphicData>
            </a:graphic>
          </wp:inline>
        </w:drawing>
      </w:r>
    </w:p>
    <w:p>
      <w:pPr>
        <w:numPr>
          <w:ilvl w:val="0"/>
          <w:numId w:val="0"/>
        </w:numPr>
        <w:spacing w:beforeLines="0" w:afterLines="0"/>
        <w:ind w:firstLine="642" w:firstLineChars="200"/>
        <w:jc w:val="left"/>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bCs/>
          <w:sz w:val="32"/>
          <w:szCs w:val="32"/>
          <w:lang w:eastAsia="zh-CN"/>
        </w:rPr>
        <w:t>（二）</w:t>
      </w:r>
      <w:r>
        <w:rPr>
          <w:rFonts w:hint="eastAsia" w:ascii="仿宋_GB2312" w:hAnsi="仿宋_GB2312" w:eastAsia="仿宋_GB2312" w:cs="仿宋_GB2312"/>
          <w:b/>
          <w:bCs/>
          <w:sz w:val="32"/>
          <w:szCs w:val="32"/>
          <w:lang w:val="en-US" w:eastAsia="zh-CN"/>
        </w:rPr>
        <w:t>依申请公开</w:t>
      </w:r>
      <w:r>
        <w:rPr>
          <w:rFonts w:hint="eastAsia" w:ascii="仿宋_GB2312" w:hAnsi="仿宋_GB2312" w:eastAsia="仿宋_GB2312" w:cs="仿宋_GB2312"/>
          <w:b/>
          <w:bCs/>
          <w:sz w:val="32"/>
          <w:szCs w:val="32"/>
        </w:rPr>
        <w:t>情况</w:t>
      </w:r>
    </w:p>
    <w:p>
      <w:pPr>
        <w:ind w:firstLine="640" w:firstLineChars="200"/>
        <w:rPr>
          <w:rFonts w:hint="eastAsia" w:ascii="仿宋_GB2312" w:hAnsi="仿宋_GB2312" w:eastAsia="仿宋_GB2312" w:cs="仿宋_GB2312"/>
          <w:kern w:val="2"/>
          <w:sz w:val="32"/>
          <w:szCs w:val="32"/>
        </w:rPr>
      </w:pPr>
      <w:r>
        <w:rPr>
          <w:rFonts w:hint="eastAsia" w:ascii="仿宋_GB2312" w:hAnsi="仿宋_GB2312" w:eastAsia="仿宋_GB2312" w:cs="仿宋_GB2312"/>
          <w:b w:val="0"/>
          <w:bCs w:val="0"/>
          <w:kern w:val="2"/>
          <w:sz w:val="32"/>
          <w:szCs w:val="32"/>
          <w:lang w:val="en-US" w:eastAsia="zh-CN" w:bidi="ar"/>
        </w:rPr>
        <w:t>在做好主动公开的同时，按照《条例》和国办《关于做好政府信息依申请公开工作的意见》要求，进一步规范做好依申请公开工作。通过组织区内各相关部门参加淄博市依申请公开工作点评会议，进一步熟悉了相关的依申请公开法规以及规范了依申请公开的答复。截止目前，全区收到依申请公开31件，其中政府层面4件。</w:t>
      </w:r>
      <w:r>
        <w:rPr>
          <w:rFonts w:hint="eastAsia" w:ascii="仿宋_GB2312" w:hAnsi="仿宋_GB2312" w:eastAsia="仿宋_GB2312" w:cs="仿宋_GB2312"/>
          <w:kern w:val="2"/>
          <w:sz w:val="32"/>
          <w:szCs w:val="32"/>
        </w:rPr>
        <w:t>根据申请人申请内容，在规定时间内，严格按照相关法律法规出具了答复书并提供了相关信息，在此过程中无信息公开收费情况。</w:t>
      </w:r>
    </w:p>
    <w:p>
      <w:pPr>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drawing>
          <wp:inline distT="0" distB="0" distL="114300" distR="114300">
            <wp:extent cx="5486400" cy="3818255"/>
            <wp:effectExtent l="0" t="0" r="0" b="6985"/>
            <wp:docPr id="10" name="图片 10"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true"/>
                    </pic:cNvPicPr>
                  </pic:nvPicPr>
                  <pic:blipFill>
                    <a:blip r:embed="rId17"/>
                    <a:stretch>
                      <a:fillRect/>
                    </a:stretch>
                  </pic:blipFill>
                  <pic:spPr>
                    <a:xfrm>
                      <a:off x="0" y="0"/>
                      <a:ext cx="5486400" cy="3818255"/>
                    </a:xfrm>
                    <a:prstGeom prst="rect">
                      <a:avLst/>
                    </a:prstGeom>
                  </pic:spPr>
                </pic:pic>
              </a:graphicData>
            </a:graphic>
          </wp:inline>
        </w:drawing>
      </w:r>
    </w:p>
    <w:p>
      <w:pPr>
        <w:numPr>
          <w:ilvl w:val="0"/>
          <w:numId w:val="0"/>
        </w:numPr>
        <w:spacing w:beforeLines="0" w:afterLines="0"/>
        <w:ind w:firstLine="642" w:firstLineChars="200"/>
        <w:jc w:val="left"/>
        <w:rPr>
          <w:rFonts w:hint="eastAsia" w:ascii="仿宋_GB2312" w:hAnsi="仿宋_GB2312" w:eastAsia="仿宋_GB2312" w:cs="仿宋_GB2312"/>
          <w:b w:val="0"/>
          <w:bCs w:val="0"/>
          <w:kern w:val="2"/>
          <w:sz w:val="32"/>
          <w:szCs w:val="32"/>
          <w:lang w:val="en-US" w:eastAsia="zh-CN" w:bidi="ar"/>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lang w:val="en-US" w:eastAsia="zh-CN"/>
        </w:rPr>
        <w:t>政府信息管理</w:t>
      </w:r>
    </w:p>
    <w:p>
      <w:pPr>
        <w:spacing w:beforeLines="0" w:afterLines="0"/>
        <w:ind w:firstLine="640" w:firstLineChars="200"/>
        <w:jc w:val="left"/>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严格落实关于印发《高新区政府信息公开保密审查办法》等八项制度规定的通知要求，严格遵守信息保密审查制度，确保涉密信息不公开，公开信息不涉密。建立健全政府信息公开制度体系，规范审查程序，落实审查责任，围绕做好助推高新区高质量发展、优化营商环境、社会监督重点领域等信息公开，未在政府信息公开工作出现任何失误泄密情况。</w:t>
      </w:r>
    </w:p>
    <w:p>
      <w:pPr>
        <w:numPr>
          <w:ilvl w:val="0"/>
          <w:numId w:val="0"/>
        </w:numPr>
        <w:spacing w:beforeLines="0" w:afterLines="0"/>
        <w:ind w:leftChars="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平台建设情况</w:t>
      </w:r>
    </w:p>
    <w:p>
      <w:pPr>
        <w:numPr>
          <w:ilvl w:val="0"/>
          <w:numId w:val="0"/>
        </w:numPr>
        <w:spacing w:beforeLines="0" w:afterLines="0"/>
        <w:ind w:leftChars="0"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在市政府网站集约化统一管理平台基础上，根据高新区实际，对重点领域、主动公开事项、依申请公开等栏目，做了进一步细分和完善，使群众更加方便进行查阅。</w:t>
      </w:r>
      <w:r>
        <w:rPr>
          <w:rFonts w:hint="eastAsia" w:ascii="仿宋_GB2312" w:hAnsi="仿宋_GB2312" w:eastAsia="仿宋_GB2312" w:cs="仿宋_GB2312"/>
          <w:sz w:val="32"/>
          <w:szCs w:val="32"/>
          <w:lang w:eastAsia="zh-CN"/>
        </w:rPr>
        <w:t>并对网站存在的各种问题及时进行整改。</w:t>
      </w:r>
      <w:r>
        <w:rPr>
          <w:rFonts w:hint="eastAsia" w:ascii="仿宋_GB2312" w:hAnsi="仿宋_GB2312" w:eastAsia="仿宋_GB2312" w:cs="仿宋_GB2312"/>
          <w:sz w:val="32"/>
          <w:szCs w:val="32"/>
        </w:rPr>
        <w:t>同时，按照相关政策要求，调研整合高新区各部门微信公众号、微博等新媒体平台，停用长期不更新、不实用的新媒体平台，</w:t>
      </w:r>
      <w:r>
        <w:rPr>
          <w:rFonts w:hint="eastAsia" w:ascii="仿宋_GB2312" w:hAnsi="仿宋_GB2312" w:eastAsia="仿宋_GB2312" w:cs="仿宋_GB2312"/>
          <w:sz w:val="32"/>
          <w:szCs w:val="32"/>
          <w:lang w:eastAsia="zh-CN"/>
        </w:rPr>
        <w:t>及时在山东省以及国家政务新媒体备案系统中进行备案，并在高新区网站建立政务新媒体集群矩阵，方便群众查阅。</w:t>
      </w:r>
    </w:p>
    <w:p>
      <w:pPr>
        <w:numPr>
          <w:ilvl w:val="0"/>
          <w:numId w:val="0"/>
        </w:numPr>
        <w:spacing w:beforeLines="0" w:afterLines="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569845" cy="1713865"/>
            <wp:effectExtent l="0" t="0" r="5715" b="8255"/>
            <wp:docPr id="19" name="图片 19" descr="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01"/>
                    <pic:cNvPicPr>
                      <a:picLocks noChangeAspect="true"/>
                    </pic:cNvPicPr>
                  </pic:nvPicPr>
                  <pic:blipFill>
                    <a:blip r:embed="rId18"/>
                    <a:stretch>
                      <a:fillRect/>
                    </a:stretch>
                  </pic:blipFill>
                  <pic:spPr>
                    <a:xfrm>
                      <a:off x="0" y="0"/>
                      <a:ext cx="2569845" cy="1713865"/>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drawing>
          <wp:inline distT="0" distB="0" distL="114300" distR="114300">
            <wp:extent cx="2781935" cy="1722755"/>
            <wp:effectExtent l="0" t="0" r="6985" b="14605"/>
            <wp:docPr id="13" name="图片 13"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true"/>
                    </pic:cNvPicPr>
                  </pic:nvPicPr>
                  <pic:blipFill>
                    <a:blip r:embed="rId19"/>
                    <a:stretch>
                      <a:fillRect/>
                    </a:stretch>
                  </pic:blipFill>
                  <pic:spPr>
                    <a:xfrm>
                      <a:off x="0" y="0"/>
                      <a:ext cx="2781935" cy="1722755"/>
                    </a:xfrm>
                    <a:prstGeom prst="rect">
                      <a:avLst/>
                    </a:prstGeom>
                  </pic:spPr>
                </pic:pic>
              </a:graphicData>
            </a:graphic>
          </wp:inline>
        </w:drawing>
      </w:r>
    </w:p>
    <w:p>
      <w:pPr>
        <w:numPr>
          <w:ilvl w:val="0"/>
          <w:numId w:val="0"/>
        </w:numPr>
        <w:spacing w:beforeLines="0" w:afterLines="0"/>
        <w:ind w:leftChars="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（五）监督保障</w:t>
      </w:r>
    </w:p>
    <w:p>
      <w:pPr>
        <w:spacing w:beforeLines="0" w:afterLines="0"/>
        <w:ind w:firstLine="640" w:firstLineChars="200"/>
        <w:jc w:val="left"/>
        <w:rPr>
          <w:rFonts w:hint="eastAsia" w:ascii="仿宋_GB2312" w:hAnsi="仿宋_GB2312" w:eastAsia="仿宋_GB2312" w:cs="仿宋_GB2312"/>
          <w:i w:val="0"/>
          <w:caps w:val="0"/>
          <w:color w:val="000000"/>
          <w:spacing w:val="0"/>
          <w:sz w:val="32"/>
          <w:szCs w:val="32"/>
          <w:lang w:eastAsia="zh-CN"/>
        </w:rPr>
      </w:pPr>
      <w:r>
        <w:rPr>
          <w:rFonts w:hint="eastAsia" w:ascii="仿宋_GB2312" w:hAnsi="仿宋_GB2312" w:eastAsia="仿宋_GB2312" w:cs="仿宋_GB2312"/>
          <w:sz w:val="32"/>
          <w:szCs w:val="32"/>
        </w:rPr>
        <w:t>委托第三方机构定期对高新区政府部门信息公开的内容进行监督检查，定期形成信息公开工作月报告发至各部门，及时督促各部门整改，确保公开及时全面，准确。同时，制定高新区20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年度政务公开培训计划，积极组织各部门参加政府信息公开工作培训会议，增强主动公开意识，提升工作人员业务水平。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0" w:lineRule="atLeast"/>
        <w:ind w:left="0" w:right="0" w:firstLine="0"/>
        <w:jc w:val="both"/>
        <w:rPr>
          <w:rFonts w:hint="eastAsia" w:ascii="仿宋_GB2312" w:hAnsi="仿宋_GB2312" w:eastAsia="仿宋_GB2312" w:cs="仿宋_GB2312"/>
          <w:i w:val="0"/>
          <w:caps w:val="0"/>
          <w:color w:val="000000"/>
          <w:spacing w:val="0"/>
          <w:sz w:val="32"/>
          <w:szCs w:val="32"/>
          <w:lang w:eastAsia="zh-CN"/>
        </w:rPr>
      </w:pPr>
      <w:r>
        <w:rPr>
          <w:rFonts w:hint="eastAsia" w:ascii="仿宋_GB2312" w:hAnsi="仿宋_GB2312" w:eastAsia="仿宋_GB2312" w:cs="仿宋_GB2312"/>
          <w:i w:val="0"/>
          <w:caps w:val="0"/>
          <w:color w:val="000000"/>
          <w:spacing w:val="0"/>
          <w:sz w:val="32"/>
          <w:szCs w:val="32"/>
          <w:lang w:eastAsia="zh-CN"/>
        </w:rPr>
        <w:drawing>
          <wp:inline distT="0" distB="0" distL="114300" distR="114300">
            <wp:extent cx="5423535" cy="2926715"/>
            <wp:effectExtent l="0" t="0" r="1905" b="14605"/>
            <wp:docPr id="14" name="图片 14" descr="新建项目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新建项目 (11)"/>
                    <pic:cNvPicPr>
                      <a:picLocks noChangeAspect="true"/>
                    </pic:cNvPicPr>
                  </pic:nvPicPr>
                  <pic:blipFill>
                    <a:blip r:embed="rId20"/>
                    <a:stretch>
                      <a:fillRect/>
                    </a:stretch>
                  </pic:blipFill>
                  <pic:spPr>
                    <a:xfrm>
                      <a:off x="0" y="0"/>
                      <a:ext cx="5423535" cy="2926715"/>
                    </a:xfrm>
                    <a:prstGeom prst="rect">
                      <a:avLst/>
                    </a:prstGeom>
                  </pic:spPr>
                </pic:pic>
              </a:graphicData>
            </a:graphic>
          </wp:inline>
        </w:drawing>
      </w:r>
    </w:p>
    <w:p>
      <w:pPr>
        <w:pStyle w:val="4"/>
        <w:keepNext w:val="0"/>
        <w:keepLines w:val="0"/>
        <w:widowControl/>
        <w:suppressLineNumbers w:val="0"/>
        <w:spacing w:line="444" w:lineRule="atLeast"/>
        <w:ind w:left="0" w:firstLine="516"/>
        <w:jc w:val="both"/>
        <w:rPr>
          <w:rFonts w:hint="eastAsia" w:ascii="仿宋_GB2312" w:hAnsi="仿宋_GB2312" w:eastAsia="仿宋_GB2312" w:cs="仿宋_GB2312"/>
          <w:b/>
          <w:bCs/>
          <w:kern w:val="2"/>
          <w:sz w:val="32"/>
          <w:szCs w:val="32"/>
          <w:lang w:val="en-US" w:eastAsia="zh-CN"/>
        </w:rPr>
      </w:pPr>
      <w:r>
        <w:rPr>
          <w:rFonts w:hint="eastAsia" w:ascii="仿宋_GB2312" w:hAnsi="仿宋_GB2312" w:eastAsia="仿宋_GB2312" w:cs="仿宋_GB2312"/>
          <w:b/>
          <w:bCs/>
          <w:kern w:val="2"/>
          <w:sz w:val="32"/>
          <w:szCs w:val="32"/>
          <w:lang w:val="en-US" w:eastAsia="zh-CN"/>
        </w:rPr>
        <w:t>二、主动公开政府信息情况</w:t>
      </w:r>
    </w:p>
    <w:p>
      <w:pPr>
        <w:pStyle w:val="4"/>
        <w:keepNext w:val="0"/>
        <w:keepLines w:val="0"/>
        <w:widowControl/>
        <w:suppressLineNumbers w:val="0"/>
        <w:spacing w:line="444" w:lineRule="atLeast"/>
        <w:ind w:left="0" w:firstLine="516"/>
        <w:jc w:val="both"/>
        <w:rPr>
          <w:sz w:val="32"/>
          <w:szCs w:val="32"/>
        </w:rPr>
      </w:pPr>
      <w:r>
        <w:rPr>
          <w:rFonts w:ascii="仿宋_GB2312" w:hAnsi="微软雅黑" w:eastAsia="仿宋_GB2312" w:cs="仿宋_GB2312"/>
          <w:b w:val="0"/>
          <w:color w:val="3D3D3D"/>
          <w:sz w:val="32"/>
          <w:szCs w:val="32"/>
          <w:u w:val="none"/>
        </w:rPr>
        <w:t>该部分以表格形式报告。表格如下：</w:t>
      </w:r>
    </w:p>
    <w:tbl>
      <w:tblPr>
        <w:tblStyle w:val="5"/>
        <w:tblW w:w="88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526"/>
        <w:gridCol w:w="2016"/>
        <w:gridCol w:w="1800"/>
        <w:gridCol w:w="24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2" w:hRule="atLeast"/>
        </w:trPr>
        <w:tc>
          <w:tcPr>
            <w:tcW w:w="8814" w:type="dxa"/>
            <w:gridSpan w:val="4"/>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黑体" w:hAnsi="宋体" w:eastAsia="黑体" w:cs="黑体"/>
                <w:b w:val="0"/>
                <w:color w:val="000000"/>
                <w:sz w:val="21"/>
                <w:szCs w:val="21"/>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4"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信息内容</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本年新制作数量</w:t>
            </w:r>
          </w:p>
        </w:tc>
        <w:tc>
          <w:tcPr>
            <w:tcW w:w="18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本年新</w:t>
            </w:r>
          </w:p>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公开数量</w:t>
            </w:r>
          </w:p>
        </w:tc>
        <w:tc>
          <w:tcPr>
            <w:tcW w:w="247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对外公开</w:t>
            </w:r>
          </w:p>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总数量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4"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规章</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18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247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4"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规范性文件</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11</w:t>
            </w:r>
          </w:p>
        </w:tc>
        <w:tc>
          <w:tcPr>
            <w:tcW w:w="18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11</w:t>
            </w:r>
          </w:p>
        </w:tc>
        <w:tc>
          <w:tcPr>
            <w:tcW w:w="247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8814" w:type="dxa"/>
            <w:gridSpan w:val="4"/>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黑体" w:hAnsi="宋体" w:eastAsia="黑体" w:cs="黑体"/>
                <w:b w:val="0"/>
                <w:color w:val="000000"/>
                <w:sz w:val="21"/>
                <w:szCs w:val="21"/>
              </w:rPr>
              <w:t>第二十</w:t>
            </w:r>
            <w:bookmarkStart w:id="0" w:name="_GoBack"/>
            <w:bookmarkEnd w:id="0"/>
            <w:r>
              <w:rPr>
                <w:rFonts w:hint="eastAsia" w:ascii="黑体" w:hAnsi="宋体" w:eastAsia="黑体" w:cs="黑体"/>
                <w:b w:val="0"/>
                <w:color w:val="000000"/>
                <w:sz w:val="21"/>
                <w:szCs w:val="21"/>
              </w:rPr>
              <w:t>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信息内容</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32"/>
                <w:szCs w:val="22"/>
              </w:rPr>
            </w:pPr>
            <w:r>
              <w:rPr>
                <w:rFonts w:hint="eastAsia" w:ascii="仿宋_GB2312" w:hAnsi="微软雅黑" w:eastAsia="仿宋_GB2312" w:cs="仿宋_GB2312"/>
                <w:b w:val="0"/>
                <w:color w:val="000000"/>
                <w:sz w:val="21"/>
                <w:szCs w:val="21"/>
              </w:rPr>
              <w:t>上一年项目数量</w:t>
            </w:r>
          </w:p>
        </w:tc>
        <w:tc>
          <w:tcPr>
            <w:tcW w:w="18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本年增</w:t>
            </w:r>
            <w:r>
              <w:rPr>
                <w:rFonts w:hint="default" w:ascii="Times New Roman" w:hAnsi="Times New Roman" w:eastAsia="微软雅黑" w:cs="Times New Roman"/>
                <w:b w:val="0"/>
                <w:color w:val="000000"/>
                <w:sz w:val="21"/>
                <w:szCs w:val="21"/>
              </w:rPr>
              <w:t>/</w:t>
            </w:r>
            <w:r>
              <w:rPr>
                <w:rFonts w:hint="eastAsia" w:ascii="仿宋_GB2312" w:hAnsi="微软雅黑" w:eastAsia="仿宋_GB2312" w:cs="仿宋_GB2312"/>
                <w:b w:val="0"/>
                <w:color w:val="000000"/>
                <w:sz w:val="21"/>
                <w:szCs w:val="21"/>
              </w:rPr>
              <w:t>减</w:t>
            </w:r>
          </w:p>
        </w:tc>
        <w:tc>
          <w:tcPr>
            <w:tcW w:w="247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行政许可</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148</w:t>
            </w:r>
          </w:p>
        </w:tc>
        <w:tc>
          <w:tcPr>
            <w:tcW w:w="18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+229</w:t>
            </w:r>
          </w:p>
        </w:tc>
        <w:tc>
          <w:tcPr>
            <w:tcW w:w="247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44138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其他对外管理服务事项</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93</w:t>
            </w:r>
          </w:p>
        </w:tc>
        <w:tc>
          <w:tcPr>
            <w:tcW w:w="18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-21</w:t>
            </w:r>
          </w:p>
        </w:tc>
        <w:tc>
          <w:tcPr>
            <w:tcW w:w="247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8814" w:type="dxa"/>
            <w:gridSpan w:val="4"/>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黑体" w:hAnsi="宋体" w:eastAsia="黑体" w:cs="黑体"/>
                <w:b w:val="0"/>
                <w:color w:val="000000"/>
                <w:sz w:val="21"/>
                <w:szCs w:val="21"/>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4"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信息内容</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32"/>
                <w:szCs w:val="22"/>
              </w:rPr>
            </w:pPr>
            <w:r>
              <w:rPr>
                <w:rFonts w:hint="eastAsia" w:ascii="仿宋_GB2312" w:hAnsi="微软雅黑" w:eastAsia="仿宋_GB2312" w:cs="仿宋_GB2312"/>
                <w:b w:val="0"/>
                <w:color w:val="000000"/>
                <w:sz w:val="21"/>
                <w:szCs w:val="21"/>
              </w:rPr>
              <w:t>上一年项目数量</w:t>
            </w:r>
          </w:p>
        </w:tc>
        <w:tc>
          <w:tcPr>
            <w:tcW w:w="18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本年增</w:t>
            </w:r>
            <w:r>
              <w:rPr>
                <w:rFonts w:hint="default" w:ascii="Times New Roman" w:hAnsi="Times New Roman" w:eastAsia="微软雅黑" w:cs="Times New Roman"/>
                <w:b w:val="0"/>
                <w:color w:val="000000"/>
                <w:sz w:val="21"/>
                <w:szCs w:val="21"/>
              </w:rPr>
              <w:t>/</w:t>
            </w:r>
            <w:r>
              <w:rPr>
                <w:rFonts w:hint="eastAsia" w:ascii="仿宋_GB2312" w:hAnsi="微软雅黑" w:eastAsia="仿宋_GB2312" w:cs="仿宋_GB2312"/>
                <w:b w:val="0"/>
                <w:color w:val="000000"/>
                <w:sz w:val="21"/>
                <w:szCs w:val="21"/>
              </w:rPr>
              <w:t>减</w:t>
            </w:r>
          </w:p>
        </w:tc>
        <w:tc>
          <w:tcPr>
            <w:tcW w:w="247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行政处罚</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359</w:t>
            </w:r>
          </w:p>
        </w:tc>
        <w:tc>
          <w:tcPr>
            <w:tcW w:w="18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-96</w:t>
            </w:r>
          </w:p>
        </w:tc>
        <w:tc>
          <w:tcPr>
            <w:tcW w:w="247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1150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行政强制</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3</w:t>
            </w:r>
          </w:p>
        </w:tc>
        <w:tc>
          <w:tcPr>
            <w:tcW w:w="18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+1</w:t>
            </w:r>
          </w:p>
        </w:tc>
        <w:tc>
          <w:tcPr>
            <w:tcW w:w="247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8814" w:type="dxa"/>
            <w:gridSpan w:val="4"/>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黑体" w:hAnsi="宋体" w:eastAsia="黑体" w:cs="黑体"/>
                <w:b w:val="0"/>
                <w:color w:val="000000"/>
                <w:sz w:val="21"/>
                <w:szCs w:val="21"/>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信息内容</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32"/>
                <w:szCs w:val="22"/>
              </w:rPr>
            </w:pPr>
            <w:r>
              <w:rPr>
                <w:rFonts w:hint="eastAsia" w:ascii="仿宋_GB2312" w:hAnsi="微软雅黑" w:eastAsia="仿宋_GB2312" w:cs="仿宋_GB2312"/>
                <w:b w:val="0"/>
                <w:color w:val="000000"/>
                <w:sz w:val="21"/>
                <w:szCs w:val="21"/>
              </w:rPr>
              <w:t>上一年项目数量</w:t>
            </w:r>
          </w:p>
        </w:tc>
        <w:tc>
          <w:tcPr>
            <w:tcW w:w="4272" w:type="dxa"/>
            <w:gridSpan w:val="2"/>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本年增</w:t>
            </w:r>
            <w:r>
              <w:rPr>
                <w:rFonts w:hint="default" w:ascii="Times New Roman" w:hAnsi="Times New Roman" w:eastAsia="微软雅黑" w:cs="Times New Roman"/>
                <w:b w:val="0"/>
                <w:color w:val="000000"/>
                <w:sz w:val="21"/>
                <w:szCs w:val="21"/>
              </w:rPr>
              <w:t>/</w:t>
            </w:r>
            <w:r>
              <w:rPr>
                <w:rFonts w:hint="eastAsia" w:ascii="仿宋_GB2312" w:hAnsi="微软雅黑" w:eastAsia="仿宋_GB2312" w:cs="仿宋_GB2312"/>
                <w:b w:val="0"/>
                <w:color w:val="000000"/>
                <w:sz w:val="21"/>
                <w:szCs w:val="21"/>
              </w:rPr>
              <w:t>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行政事业性收费</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16"/>
                <w:lang w:val="en-US" w:eastAsia="zh-CN"/>
              </w:rPr>
            </w:pPr>
            <w:r>
              <w:rPr>
                <w:rFonts w:hint="eastAsia"/>
                <w:sz w:val="21"/>
                <w:szCs w:val="16"/>
                <w:lang w:val="en-US" w:eastAsia="zh-CN"/>
              </w:rPr>
              <w:t>12</w:t>
            </w:r>
          </w:p>
        </w:tc>
        <w:tc>
          <w:tcPr>
            <w:tcW w:w="4272" w:type="dxa"/>
            <w:gridSpan w:val="2"/>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rFonts w:hint="default" w:eastAsia="宋体"/>
                <w:sz w:val="21"/>
                <w:szCs w:val="16"/>
                <w:lang w:val="en-US" w:eastAsia="zh-CN"/>
              </w:rPr>
            </w:pPr>
            <w:r>
              <w:rPr>
                <w:rFonts w:hint="eastAsia"/>
                <w:sz w:val="21"/>
                <w:szCs w:val="16"/>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2" w:hRule="atLeast"/>
        </w:trPr>
        <w:tc>
          <w:tcPr>
            <w:tcW w:w="8814" w:type="dxa"/>
            <w:gridSpan w:val="4"/>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黑体" w:hAnsi="宋体" w:eastAsia="黑体" w:cs="黑体"/>
                <w:b w:val="0"/>
                <w:color w:val="000000"/>
                <w:sz w:val="21"/>
                <w:szCs w:val="21"/>
              </w:rPr>
              <w:t>第二十条第（九）项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8"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信息内容</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采购项目数量</w:t>
            </w:r>
          </w:p>
        </w:tc>
        <w:tc>
          <w:tcPr>
            <w:tcW w:w="4272" w:type="dxa"/>
            <w:gridSpan w:val="2"/>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采购总金额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trPr>
        <w:tc>
          <w:tcPr>
            <w:tcW w:w="252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32"/>
                <w:szCs w:val="22"/>
              </w:rPr>
            </w:pPr>
            <w:r>
              <w:rPr>
                <w:rFonts w:hint="eastAsia" w:ascii="仿宋_GB2312" w:hAnsi="微软雅黑" w:eastAsia="仿宋_GB2312" w:cs="仿宋_GB2312"/>
                <w:b w:val="0"/>
                <w:color w:val="000000"/>
                <w:sz w:val="21"/>
                <w:szCs w:val="21"/>
              </w:rPr>
              <w:t>政府集中采购</w:t>
            </w:r>
          </w:p>
        </w:tc>
        <w:tc>
          <w:tcPr>
            <w:tcW w:w="201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 w:eastAsia="zh-CN"/>
              </w:rPr>
            </w:pPr>
            <w:r>
              <w:rPr>
                <w:rFonts w:hint="default"/>
                <w:sz w:val="21"/>
                <w:szCs w:val="21"/>
                <w:lang w:val="en" w:eastAsia="zh-CN"/>
              </w:rPr>
              <w:t>203</w:t>
            </w:r>
          </w:p>
        </w:tc>
        <w:tc>
          <w:tcPr>
            <w:tcW w:w="4272" w:type="dxa"/>
            <w:gridSpan w:val="2"/>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仿宋_GB2312"/>
                <w:sz w:val="21"/>
                <w:szCs w:val="21"/>
                <w:lang w:val="en-US" w:eastAsia="zh-CN"/>
              </w:rPr>
            </w:pPr>
            <w:r>
              <w:rPr>
                <w:rFonts w:hint="default" w:eastAsia="仿宋_GB2312"/>
                <w:sz w:val="21"/>
                <w:szCs w:val="21"/>
                <w:lang w:val="en" w:eastAsia="zh-CN"/>
              </w:rPr>
              <w:t>4195</w:t>
            </w:r>
            <w:r>
              <w:rPr>
                <w:rFonts w:hint="eastAsia" w:eastAsia="仿宋_GB2312"/>
                <w:sz w:val="21"/>
                <w:szCs w:val="21"/>
                <w:lang w:val="en-US" w:eastAsia="zh-CN"/>
              </w:rPr>
              <w:t>.</w:t>
            </w:r>
            <w:r>
              <w:rPr>
                <w:rFonts w:hint="default" w:eastAsia="仿宋_GB2312"/>
                <w:sz w:val="21"/>
                <w:szCs w:val="21"/>
                <w:lang w:val="en" w:eastAsia="zh-CN"/>
              </w:rPr>
              <w:t>8936</w:t>
            </w:r>
            <w:r>
              <w:rPr>
                <w:rFonts w:hint="eastAsia" w:eastAsia="仿宋_GB2312"/>
                <w:sz w:val="21"/>
                <w:szCs w:val="21"/>
                <w:lang w:val="en" w:eastAsia="zh-CN"/>
              </w:rPr>
              <w:t>万</w:t>
            </w:r>
            <w:r>
              <w:rPr>
                <w:rFonts w:hint="eastAsia" w:eastAsia="仿宋_GB2312"/>
                <w:sz w:val="21"/>
                <w:szCs w:val="21"/>
                <w:lang w:val="en-US" w:eastAsia="zh-CN"/>
              </w:rPr>
              <w:t>元</w:t>
            </w:r>
          </w:p>
        </w:tc>
      </w:tr>
    </w:tbl>
    <w:p>
      <w:pPr>
        <w:pStyle w:val="4"/>
        <w:keepNext w:val="0"/>
        <w:keepLines w:val="0"/>
        <w:widowControl/>
        <w:numPr>
          <w:ilvl w:val="0"/>
          <w:numId w:val="0"/>
        </w:numPr>
        <w:suppressLineNumbers w:val="0"/>
        <w:spacing w:line="444" w:lineRule="atLeast"/>
        <w:ind w:right="0" w:rightChars="0" w:firstLine="642" w:firstLineChars="200"/>
        <w:jc w:val="both"/>
        <w:rPr>
          <w:rFonts w:hint="eastAsia" w:ascii="仿宋_GB2312" w:hAnsi="仿宋_GB2312" w:eastAsia="仿宋_GB2312" w:cs="仿宋_GB2312"/>
          <w:b/>
          <w:bCs/>
          <w:kern w:val="2"/>
          <w:sz w:val="32"/>
          <w:szCs w:val="32"/>
          <w:lang w:eastAsia="zh-CN"/>
        </w:rPr>
      </w:pPr>
      <w:r>
        <w:rPr>
          <w:rFonts w:hint="eastAsia" w:ascii="仿宋_GB2312" w:hAnsi="仿宋_GB2312" w:eastAsia="仿宋_GB2312" w:cs="仿宋_GB2312"/>
          <w:b/>
          <w:bCs/>
          <w:kern w:val="2"/>
          <w:sz w:val="32"/>
          <w:szCs w:val="32"/>
          <w:lang w:eastAsia="zh-CN"/>
        </w:rPr>
        <w:t xml:space="preserve">三、收到和处理政府信息公开申请情况 </w:t>
      </w:r>
    </w:p>
    <w:p>
      <w:pPr>
        <w:pStyle w:val="4"/>
        <w:keepNext w:val="0"/>
        <w:keepLines w:val="0"/>
        <w:widowControl/>
        <w:numPr>
          <w:ilvl w:val="0"/>
          <w:numId w:val="0"/>
        </w:numPr>
        <w:suppressLineNumbers w:val="0"/>
        <w:spacing w:line="444" w:lineRule="atLeast"/>
        <w:ind w:right="0" w:rightChars="0" w:firstLine="500" w:firstLineChars="200"/>
        <w:jc w:val="both"/>
      </w:pPr>
      <w:r>
        <w:rPr>
          <w:rFonts w:hint="eastAsia" w:ascii="仿宋_GB2312" w:hAnsi="微软雅黑" w:eastAsia="仿宋_GB2312" w:cs="仿宋_GB2312"/>
          <w:b w:val="0"/>
          <w:color w:val="3D3D3D"/>
          <w:sz w:val="25"/>
          <w:szCs w:val="25"/>
          <w:u w:val="none"/>
        </w:rPr>
        <w:t>该部分以表格形式报告。表格如下：</w:t>
      </w:r>
      <w:r>
        <w:rPr>
          <w:rFonts w:hint="default" w:ascii="Times New Roman" w:hAnsi="Times New Roman" w:eastAsia="微软雅黑" w:cs="Times New Roman"/>
          <w:b w:val="0"/>
          <w:color w:val="3D3D3D"/>
          <w:sz w:val="25"/>
          <w:szCs w:val="25"/>
          <w:u w:val="none"/>
        </w:rPr>
        <w:t xml:space="preserve"> </w:t>
      </w:r>
    </w:p>
    <w:tbl>
      <w:tblPr>
        <w:tblStyle w:val="5"/>
        <w:tblW w:w="88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88"/>
        <w:gridCol w:w="859"/>
        <w:gridCol w:w="2582"/>
        <w:gridCol w:w="525"/>
        <w:gridCol w:w="560"/>
        <w:gridCol w:w="700"/>
        <w:gridCol w:w="841"/>
        <w:gridCol w:w="794"/>
        <w:gridCol w:w="747"/>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8" w:hRule="atLeast"/>
        </w:trPr>
        <w:tc>
          <w:tcPr>
            <w:tcW w:w="4029" w:type="dxa"/>
            <w:gridSpan w:val="3"/>
            <w:vMerge w:val="restart"/>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（本列数据的勾稽关系为：第一项加第二项之和，等于第三项加第四项之和）</w:t>
            </w:r>
          </w:p>
        </w:tc>
        <w:tc>
          <w:tcPr>
            <w:tcW w:w="4797" w:type="dxa"/>
            <w:gridSpan w:val="7"/>
            <w:tcBorders>
              <w:top w:val="single" w:color="auto" w:sz="4" w:space="0"/>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申请人情况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4029"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525" w:type="dxa"/>
            <w:vMerge w:val="restart"/>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自然人</w:t>
            </w:r>
          </w:p>
        </w:tc>
        <w:tc>
          <w:tcPr>
            <w:tcW w:w="3642" w:type="dxa"/>
            <w:gridSpan w:val="5"/>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法人或其他组织</w:t>
            </w:r>
          </w:p>
        </w:tc>
        <w:tc>
          <w:tcPr>
            <w:tcW w:w="630" w:type="dxa"/>
            <w:vMerge w:val="restart"/>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黑体" w:hAnsi="宋体" w:eastAsia="黑体" w:cs="黑体"/>
                <w:b w:val="0"/>
                <w:color w:val="000000"/>
                <w:sz w:val="21"/>
                <w:szCs w:val="21"/>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4" w:hRule="atLeast"/>
        </w:trPr>
        <w:tc>
          <w:tcPr>
            <w:tcW w:w="4029"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525"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黑体" w:hAnsi="宋体" w:eastAsia="黑体" w:cs="黑体"/>
                <w:b w:val="0"/>
                <w:color w:val="000000"/>
                <w:sz w:val="21"/>
                <w:szCs w:val="21"/>
              </w:rPr>
              <w:t>商业企业</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黑体" w:hAnsi="宋体" w:eastAsia="黑体" w:cs="黑体"/>
                <w:b w:val="0"/>
                <w:color w:val="000000"/>
                <w:sz w:val="21"/>
                <w:szCs w:val="21"/>
              </w:rPr>
              <w:t>科研机构</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黑体" w:hAnsi="宋体" w:eastAsia="黑体" w:cs="黑体"/>
                <w:b w:val="0"/>
                <w:color w:val="000000"/>
                <w:sz w:val="21"/>
                <w:szCs w:val="21"/>
              </w:rPr>
              <w:t>社会公益组织</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黑体" w:hAnsi="宋体" w:eastAsia="黑体" w:cs="黑体"/>
                <w:b w:val="0"/>
                <w:color w:val="000000"/>
                <w:sz w:val="21"/>
                <w:szCs w:val="21"/>
              </w:rPr>
              <w:t>法律服务机构</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黑体" w:hAnsi="宋体" w:eastAsia="黑体" w:cs="黑体"/>
                <w:b w:val="0"/>
                <w:color w:val="000000"/>
                <w:sz w:val="21"/>
                <w:szCs w:val="21"/>
              </w:rPr>
              <w:t>其他</w:t>
            </w:r>
          </w:p>
        </w:tc>
        <w:tc>
          <w:tcPr>
            <w:tcW w:w="630"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029" w:type="dxa"/>
            <w:gridSpan w:val="3"/>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一、本年新收政府信息公开申请数量</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 w:eastAsia="zh-CN"/>
              </w:rPr>
            </w:pPr>
            <w:r>
              <w:rPr>
                <w:rFonts w:hint="eastAsia"/>
                <w:sz w:val="21"/>
                <w:szCs w:val="21"/>
                <w:lang w:val="en-US" w:eastAsia="zh-CN"/>
              </w:rPr>
              <w:t>2</w:t>
            </w:r>
            <w:r>
              <w:rPr>
                <w:rFonts w:hint="default"/>
                <w:sz w:val="21"/>
                <w:szCs w:val="21"/>
                <w:lang w:val="en" w:eastAsia="zh-CN"/>
              </w:rPr>
              <w:t>5</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6</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 w:eastAsia="zh-CN"/>
              </w:rPr>
            </w:pPr>
            <w:r>
              <w:rPr>
                <w:rFonts w:hint="default"/>
                <w:sz w:val="21"/>
                <w:szCs w:val="21"/>
                <w:lang w:val="en" w:eastAsia="zh-CN"/>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4029" w:type="dxa"/>
            <w:gridSpan w:val="3"/>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二、上年结转政府信息公开申请数量</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vMerge w:val="restart"/>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仿宋_GB2312" w:hAnsi="微软雅黑" w:eastAsia="仿宋_GB2312" w:cs="仿宋_GB2312"/>
                <w:b w:val="0"/>
                <w:color w:val="000000"/>
                <w:sz w:val="21"/>
                <w:szCs w:val="21"/>
              </w:rPr>
              <w:t>三、本年度办理结果</w:t>
            </w:r>
          </w:p>
        </w:tc>
        <w:tc>
          <w:tcPr>
            <w:tcW w:w="3441" w:type="dxa"/>
            <w:gridSpan w:val="2"/>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（一）予以公开</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22</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6</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3441" w:type="dxa"/>
            <w:gridSpan w:val="2"/>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（二）部分公开（区分处理的，只计这一情形，不计其他情形）</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restart"/>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（三）</w:t>
            </w:r>
          </w:p>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不予公开</w:t>
            </w: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1</w:t>
            </w:r>
            <w:r>
              <w:rPr>
                <w:rFonts w:hint="eastAsia" w:ascii="仿宋_GB2312" w:hAnsi="微软雅黑" w:eastAsia="仿宋_GB2312" w:cs="仿宋_GB2312"/>
                <w:b w:val="0"/>
                <w:color w:val="000000"/>
                <w:sz w:val="21"/>
                <w:szCs w:val="21"/>
              </w:rPr>
              <w:t>．属于国家秘密</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2</w:t>
            </w:r>
            <w:r>
              <w:rPr>
                <w:rFonts w:hint="eastAsia" w:ascii="仿宋_GB2312" w:hAnsi="微软雅黑" w:eastAsia="仿宋_GB2312" w:cs="仿宋_GB2312"/>
                <w:b w:val="0"/>
                <w:color w:val="000000"/>
                <w:sz w:val="21"/>
                <w:szCs w:val="21"/>
              </w:rPr>
              <w:t>．其他法律行政法规禁止公开</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3</w:t>
            </w:r>
            <w:r>
              <w:rPr>
                <w:rFonts w:hint="eastAsia" w:ascii="仿宋_GB2312" w:hAnsi="微软雅黑" w:eastAsia="仿宋_GB2312" w:cs="仿宋_GB2312"/>
                <w:b w:val="0"/>
                <w:color w:val="000000"/>
                <w:sz w:val="21"/>
                <w:szCs w:val="21"/>
              </w:rPr>
              <w:t>．危及</w:t>
            </w:r>
            <w:r>
              <w:rPr>
                <w:rFonts w:hint="default" w:ascii="Times New Roman" w:hAnsi="Times New Roman" w:eastAsia="微软雅黑" w:cs="Times New Roman"/>
                <w:b w:val="0"/>
                <w:color w:val="000000"/>
                <w:sz w:val="21"/>
                <w:szCs w:val="21"/>
              </w:rPr>
              <w:t>“</w:t>
            </w:r>
            <w:r>
              <w:rPr>
                <w:rFonts w:hint="eastAsia" w:ascii="仿宋_GB2312" w:hAnsi="微软雅黑" w:eastAsia="仿宋_GB2312" w:cs="仿宋_GB2312"/>
                <w:b w:val="0"/>
                <w:color w:val="000000"/>
                <w:sz w:val="21"/>
                <w:szCs w:val="21"/>
              </w:rPr>
              <w:t>三安全一稳定</w:t>
            </w:r>
            <w:r>
              <w:rPr>
                <w:rFonts w:hint="default" w:ascii="Times New Roman" w:hAnsi="Times New Roman" w:eastAsia="微软雅黑" w:cs="Times New Roman"/>
                <w:b w:val="0"/>
                <w:color w:val="000000"/>
                <w:sz w:val="21"/>
                <w:szCs w:val="21"/>
              </w:rPr>
              <w:t>”</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4</w:t>
            </w:r>
            <w:r>
              <w:rPr>
                <w:rFonts w:hint="eastAsia" w:ascii="仿宋_GB2312" w:hAnsi="微软雅黑" w:eastAsia="仿宋_GB2312" w:cs="仿宋_GB2312"/>
                <w:b w:val="0"/>
                <w:color w:val="000000"/>
                <w:sz w:val="21"/>
                <w:szCs w:val="21"/>
              </w:rPr>
              <w:t>．保护第三方合法权益</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2</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5</w:t>
            </w:r>
            <w:r>
              <w:rPr>
                <w:rFonts w:hint="eastAsia" w:ascii="仿宋_GB2312" w:hAnsi="微软雅黑" w:eastAsia="仿宋_GB2312" w:cs="仿宋_GB2312"/>
                <w:b w:val="0"/>
                <w:color w:val="000000"/>
                <w:sz w:val="21"/>
                <w:szCs w:val="21"/>
              </w:rPr>
              <w:t>．属于三类内部事务信息</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6</w:t>
            </w:r>
            <w:r>
              <w:rPr>
                <w:rFonts w:hint="eastAsia" w:ascii="仿宋_GB2312" w:hAnsi="微软雅黑" w:eastAsia="仿宋_GB2312" w:cs="仿宋_GB2312"/>
                <w:b w:val="0"/>
                <w:color w:val="000000"/>
                <w:sz w:val="21"/>
                <w:szCs w:val="21"/>
              </w:rPr>
              <w:t>．属于四类过程性信息</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7</w:t>
            </w:r>
            <w:r>
              <w:rPr>
                <w:rFonts w:hint="eastAsia" w:ascii="仿宋_GB2312" w:hAnsi="微软雅黑" w:eastAsia="仿宋_GB2312" w:cs="仿宋_GB2312"/>
                <w:b w:val="0"/>
                <w:color w:val="000000"/>
                <w:sz w:val="21"/>
                <w:szCs w:val="21"/>
              </w:rPr>
              <w:t>．属于行政执法案卷</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8</w:t>
            </w:r>
            <w:r>
              <w:rPr>
                <w:rFonts w:hint="eastAsia" w:ascii="仿宋_GB2312" w:hAnsi="微软雅黑" w:eastAsia="仿宋_GB2312" w:cs="仿宋_GB2312"/>
                <w:b w:val="0"/>
                <w:color w:val="000000"/>
                <w:sz w:val="21"/>
                <w:szCs w:val="21"/>
              </w:rPr>
              <w:t>．属于行政查询事项</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1</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4"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restart"/>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（四）</w:t>
            </w:r>
          </w:p>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无法提供</w:t>
            </w: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1</w:t>
            </w:r>
            <w:r>
              <w:rPr>
                <w:rFonts w:hint="eastAsia" w:ascii="仿宋_GB2312" w:hAnsi="微软雅黑" w:eastAsia="仿宋_GB2312" w:cs="仿宋_GB2312"/>
                <w:b w:val="0"/>
                <w:color w:val="000000"/>
                <w:sz w:val="21"/>
                <w:szCs w:val="21"/>
              </w:rPr>
              <w:t>．本机关不掌握相关政府信息</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2</w:t>
            </w:r>
            <w:r>
              <w:rPr>
                <w:rFonts w:hint="eastAsia" w:ascii="仿宋_GB2312" w:hAnsi="微软雅黑" w:eastAsia="仿宋_GB2312" w:cs="仿宋_GB2312"/>
                <w:b w:val="0"/>
                <w:color w:val="000000"/>
                <w:sz w:val="21"/>
                <w:szCs w:val="21"/>
              </w:rPr>
              <w:t>．没有现成信息需要另行制作</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3</w:t>
            </w:r>
            <w:r>
              <w:rPr>
                <w:rFonts w:hint="eastAsia" w:ascii="仿宋_GB2312" w:hAnsi="微软雅黑" w:eastAsia="仿宋_GB2312" w:cs="仿宋_GB2312"/>
                <w:b w:val="0"/>
                <w:color w:val="000000"/>
                <w:sz w:val="21"/>
                <w:szCs w:val="21"/>
              </w:rPr>
              <w:t>．补正后申请内容仍不明确</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restart"/>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（五）</w:t>
            </w:r>
          </w:p>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不予处理</w:t>
            </w: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1</w:t>
            </w:r>
            <w:r>
              <w:rPr>
                <w:rFonts w:hint="eastAsia" w:ascii="仿宋_GB2312" w:hAnsi="微软雅黑" w:eastAsia="仿宋_GB2312" w:cs="仿宋_GB2312"/>
                <w:b w:val="0"/>
                <w:color w:val="000000"/>
                <w:sz w:val="21"/>
                <w:szCs w:val="21"/>
              </w:rPr>
              <w:t>．信访举报投诉类申请</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2</w:t>
            </w:r>
            <w:r>
              <w:rPr>
                <w:rFonts w:hint="eastAsia" w:ascii="仿宋_GB2312" w:hAnsi="微软雅黑" w:eastAsia="仿宋_GB2312" w:cs="仿宋_GB2312"/>
                <w:b w:val="0"/>
                <w:color w:val="000000"/>
                <w:sz w:val="21"/>
                <w:szCs w:val="21"/>
              </w:rPr>
              <w:t>．重复申请</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3</w:t>
            </w:r>
            <w:r>
              <w:rPr>
                <w:rFonts w:hint="eastAsia" w:ascii="仿宋_GB2312" w:hAnsi="微软雅黑" w:eastAsia="仿宋_GB2312" w:cs="仿宋_GB2312"/>
                <w:b w:val="0"/>
                <w:color w:val="000000"/>
                <w:sz w:val="21"/>
                <w:szCs w:val="21"/>
              </w:rPr>
              <w:t>．要求提供公开出版物</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4</w:t>
            </w:r>
            <w:r>
              <w:rPr>
                <w:rFonts w:hint="eastAsia" w:ascii="仿宋_GB2312" w:hAnsi="微软雅黑" w:eastAsia="仿宋_GB2312" w:cs="仿宋_GB2312"/>
                <w:b w:val="0"/>
                <w:color w:val="000000"/>
                <w:sz w:val="21"/>
                <w:szCs w:val="21"/>
              </w:rPr>
              <w:t>．无正当理由大量反复申请</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88"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859"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258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spacing w:line="240" w:lineRule="atLeast"/>
              <w:ind w:left="168"/>
              <w:rPr>
                <w:sz w:val="21"/>
                <w:szCs w:val="21"/>
              </w:rPr>
            </w:pPr>
            <w:r>
              <w:rPr>
                <w:rFonts w:hint="default" w:ascii="Times New Roman" w:hAnsi="Times New Roman" w:eastAsia="微软雅黑" w:cs="Times New Roman"/>
                <w:b w:val="0"/>
                <w:color w:val="000000"/>
                <w:sz w:val="21"/>
                <w:szCs w:val="21"/>
              </w:rPr>
              <w:t>5</w:t>
            </w:r>
            <w:r>
              <w:rPr>
                <w:rFonts w:hint="eastAsia" w:ascii="仿宋_GB2312" w:hAnsi="微软雅黑" w:eastAsia="仿宋_GB2312" w:cs="仿宋_GB2312"/>
                <w:b w:val="0"/>
                <w:color w:val="000000"/>
                <w:sz w:val="21"/>
                <w:szCs w:val="21"/>
              </w:rPr>
              <w:t>．要求行政机关确认或重新出具已获取信息</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2" w:hRule="atLeast"/>
        </w:trPr>
        <w:tc>
          <w:tcPr>
            <w:tcW w:w="588"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color w:val="000000"/>
                <w:sz w:val="21"/>
                <w:szCs w:val="21"/>
              </w:rPr>
            </w:pPr>
          </w:p>
        </w:tc>
        <w:tc>
          <w:tcPr>
            <w:tcW w:w="3441" w:type="dxa"/>
            <w:gridSpan w:val="2"/>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（六）其他处理</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6" w:hRule="atLeast"/>
        </w:trPr>
        <w:tc>
          <w:tcPr>
            <w:tcW w:w="588"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color w:val="000000"/>
                <w:sz w:val="21"/>
                <w:szCs w:val="21"/>
              </w:rPr>
            </w:pPr>
          </w:p>
        </w:tc>
        <w:tc>
          <w:tcPr>
            <w:tcW w:w="3441" w:type="dxa"/>
            <w:gridSpan w:val="2"/>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（七）总计</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25</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eastAsia" w:eastAsia="宋体"/>
                <w:sz w:val="21"/>
                <w:szCs w:val="21"/>
                <w:lang w:val="en-US" w:eastAsia="zh-CN"/>
              </w:rPr>
            </w:pPr>
            <w:r>
              <w:rPr>
                <w:rFonts w:hint="eastAsia"/>
                <w:sz w:val="21"/>
                <w:szCs w:val="21"/>
                <w:lang w:val="en-US" w:eastAsia="zh-CN"/>
              </w:rPr>
              <w:t>6</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eastAsia="宋体"/>
                <w:sz w:val="21"/>
                <w:szCs w:val="21"/>
                <w:lang w:val="en-US" w:eastAsia="zh-CN"/>
              </w:rPr>
            </w:pPr>
            <w:r>
              <w:rPr>
                <w:rFonts w:hint="eastAsia"/>
                <w:sz w:val="21"/>
                <w:szCs w:val="21"/>
                <w:lang w:val="en-US" w:eastAsia="zh-CN"/>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029" w:type="dxa"/>
            <w:gridSpan w:val="3"/>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eastAsia" w:ascii="仿宋_GB2312" w:hAnsi="微软雅黑" w:eastAsia="仿宋_GB2312" w:cs="仿宋_GB2312"/>
                <w:b w:val="0"/>
                <w:color w:val="000000"/>
                <w:sz w:val="21"/>
                <w:szCs w:val="21"/>
              </w:rPr>
              <w:t>四、结转下年度继续办理</w:t>
            </w:r>
          </w:p>
        </w:tc>
        <w:tc>
          <w:tcPr>
            <w:tcW w:w="525"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84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9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47"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bl>
    <w:p>
      <w:pPr>
        <w:pStyle w:val="4"/>
        <w:keepNext w:val="0"/>
        <w:keepLines w:val="0"/>
        <w:widowControl/>
        <w:numPr>
          <w:ilvl w:val="0"/>
          <w:numId w:val="0"/>
        </w:numPr>
        <w:suppressLineNumbers w:val="0"/>
        <w:spacing w:line="444" w:lineRule="atLeast"/>
        <w:ind w:right="0" w:rightChars="0" w:firstLine="642" w:firstLineChars="200"/>
        <w:jc w:val="both"/>
        <w:rPr>
          <w:rFonts w:hint="eastAsia" w:ascii="仿宋_GB2312" w:hAnsi="仿宋_GB2312" w:eastAsia="仿宋_GB2312" w:cs="仿宋_GB2312"/>
          <w:b/>
          <w:bCs/>
          <w:kern w:val="2"/>
          <w:sz w:val="32"/>
          <w:szCs w:val="32"/>
          <w:lang w:eastAsia="zh-CN"/>
        </w:rPr>
      </w:pPr>
      <w:r>
        <w:rPr>
          <w:rFonts w:hint="eastAsia" w:ascii="仿宋_GB2312" w:hAnsi="仿宋_GB2312" w:eastAsia="仿宋_GB2312" w:cs="仿宋_GB2312"/>
          <w:b/>
          <w:bCs/>
          <w:kern w:val="2"/>
          <w:sz w:val="32"/>
          <w:szCs w:val="32"/>
          <w:lang w:eastAsia="zh-CN"/>
        </w:rPr>
        <w:t xml:space="preserve">四、政府信息公开行政复议、行政诉讼情况 </w:t>
      </w:r>
    </w:p>
    <w:p>
      <w:pPr>
        <w:pStyle w:val="4"/>
        <w:keepNext w:val="0"/>
        <w:keepLines w:val="0"/>
        <w:widowControl/>
        <w:suppressLineNumbers w:val="0"/>
        <w:spacing w:line="468" w:lineRule="atLeast"/>
        <w:ind w:left="0" w:firstLine="516"/>
        <w:jc w:val="left"/>
        <w:rPr>
          <w:sz w:val="28"/>
          <w:szCs w:val="28"/>
        </w:rPr>
      </w:pPr>
      <w:r>
        <w:rPr>
          <w:rFonts w:hint="eastAsia" w:ascii="仿宋_GB2312" w:hAnsi="微软雅黑" w:eastAsia="仿宋_GB2312" w:cs="仿宋_GB2312"/>
          <w:b w:val="0"/>
          <w:color w:val="3D3D3D"/>
          <w:sz w:val="28"/>
          <w:szCs w:val="28"/>
          <w:u w:val="none"/>
        </w:rPr>
        <w:t>该部分以表格形式报告。表格如下：</w:t>
      </w:r>
    </w:p>
    <w:tbl>
      <w:tblPr>
        <w:tblStyle w:val="5"/>
        <w:tblW w:w="88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34"/>
        <w:gridCol w:w="522"/>
        <w:gridCol w:w="534"/>
        <w:gridCol w:w="511"/>
        <w:gridCol w:w="453"/>
        <w:gridCol w:w="620"/>
        <w:gridCol w:w="540"/>
        <w:gridCol w:w="540"/>
        <w:gridCol w:w="660"/>
        <w:gridCol w:w="636"/>
        <w:gridCol w:w="468"/>
        <w:gridCol w:w="588"/>
        <w:gridCol w:w="708"/>
        <w:gridCol w:w="780"/>
        <w:gridCol w:w="7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2" w:hRule="atLeast"/>
        </w:trPr>
        <w:tc>
          <w:tcPr>
            <w:tcW w:w="2554" w:type="dxa"/>
            <w:gridSpan w:val="5"/>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行政复议</w:t>
            </w:r>
          </w:p>
        </w:tc>
        <w:tc>
          <w:tcPr>
            <w:tcW w:w="6272" w:type="dxa"/>
            <w:gridSpan w:val="10"/>
            <w:tcBorders>
              <w:top w:val="single" w:color="auto" w:sz="4" w:space="0"/>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行政诉讼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 w:hRule="atLeast"/>
        </w:trPr>
        <w:tc>
          <w:tcPr>
            <w:tcW w:w="534" w:type="dxa"/>
            <w:vMerge w:val="restart"/>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结果维持</w:t>
            </w:r>
          </w:p>
        </w:tc>
        <w:tc>
          <w:tcPr>
            <w:tcW w:w="522" w:type="dxa"/>
            <w:vMerge w:val="restart"/>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结果纠正</w:t>
            </w:r>
          </w:p>
        </w:tc>
        <w:tc>
          <w:tcPr>
            <w:tcW w:w="534" w:type="dxa"/>
            <w:vMerge w:val="restart"/>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其他结果</w:t>
            </w:r>
          </w:p>
        </w:tc>
        <w:tc>
          <w:tcPr>
            <w:tcW w:w="511" w:type="dxa"/>
            <w:vMerge w:val="restart"/>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尚未审结</w:t>
            </w:r>
          </w:p>
        </w:tc>
        <w:tc>
          <w:tcPr>
            <w:tcW w:w="453" w:type="dxa"/>
            <w:vMerge w:val="restart"/>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总计</w:t>
            </w:r>
          </w:p>
        </w:tc>
        <w:tc>
          <w:tcPr>
            <w:tcW w:w="2996" w:type="dxa"/>
            <w:gridSpan w:val="5"/>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未经复议直接起诉</w:t>
            </w:r>
          </w:p>
        </w:tc>
        <w:tc>
          <w:tcPr>
            <w:tcW w:w="3276" w:type="dxa"/>
            <w:gridSpan w:val="5"/>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复议后起诉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34"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522"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534"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511"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453" w:type="dxa"/>
            <w:vMerge w:val="continue"/>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微软雅黑" w:hAnsi="微软雅黑" w:eastAsia="微软雅黑" w:cs="微软雅黑"/>
                <w:b w:val="0"/>
                <w:color w:val="000000"/>
                <w:sz w:val="21"/>
                <w:szCs w:val="21"/>
              </w:rPr>
            </w:pPr>
          </w:p>
        </w:tc>
        <w:tc>
          <w:tcPr>
            <w:tcW w:w="62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结果维持</w:t>
            </w:r>
          </w:p>
        </w:tc>
        <w:tc>
          <w:tcPr>
            <w:tcW w:w="54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结果纠正</w:t>
            </w:r>
          </w:p>
        </w:tc>
        <w:tc>
          <w:tcPr>
            <w:tcW w:w="54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其他结果</w:t>
            </w:r>
          </w:p>
        </w:tc>
        <w:tc>
          <w:tcPr>
            <w:tcW w:w="6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尚未审结</w:t>
            </w:r>
          </w:p>
        </w:tc>
        <w:tc>
          <w:tcPr>
            <w:tcW w:w="63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总计</w:t>
            </w:r>
          </w:p>
        </w:tc>
        <w:tc>
          <w:tcPr>
            <w:tcW w:w="468"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结果维持</w:t>
            </w:r>
          </w:p>
        </w:tc>
        <w:tc>
          <w:tcPr>
            <w:tcW w:w="588"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结果纠正</w:t>
            </w:r>
          </w:p>
        </w:tc>
        <w:tc>
          <w:tcPr>
            <w:tcW w:w="708"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其他结果</w:t>
            </w:r>
          </w:p>
        </w:tc>
        <w:tc>
          <w:tcPr>
            <w:tcW w:w="78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尚未审结</w:t>
            </w:r>
          </w:p>
        </w:tc>
        <w:tc>
          <w:tcPr>
            <w:tcW w:w="73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jc w:val="center"/>
              <w:rPr>
                <w:sz w:val="21"/>
                <w:szCs w:val="21"/>
              </w:rPr>
            </w:pPr>
            <w:r>
              <w:rPr>
                <w:rFonts w:hint="eastAsia" w:ascii="黑体" w:hAnsi="宋体" w:eastAsia="黑体" w:cs="黑体"/>
                <w:b w:val="0"/>
                <w:color w:val="000000"/>
                <w:sz w:val="21"/>
                <w:szCs w:val="21"/>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6" w:hRule="atLeast"/>
        </w:trPr>
        <w:tc>
          <w:tcPr>
            <w:tcW w:w="53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sz w:val="21"/>
                <w:szCs w:val="21"/>
                <w:lang w:val="en"/>
              </w:rPr>
            </w:pPr>
            <w:r>
              <w:rPr>
                <w:rFonts w:hint="default"/>
                <w:sz w:val="21"/>
                <w:szCs w:val="21"/>
                <w:lang w:val="en"/>
              </w:rPr>
              <w:t>1</w:t>
            </w:r>
          </w:p>
        </w:tc>
        <w:tc>
          <w:tcPr>
            <w:tcW w:w="52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34"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11"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453"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rFonts w:hint="default"/>
                <w:sz w:val="21"/>
                <w:szCs w:val="21"/>
                <w:lang w:val="en"/>
              </w:rPr>
            </w:pPr>
            <w:r>
              <w:rPr>
                <w:rFonts w:hint="default"/>
                <w:sz w:val="21"/>
                <w:szCs w:val="21"/>
                <w:lang w:val="en"/>
              </w:rPr>
              <w:t>1</w:t>
            </w:r>
          </w:p>
        </w:tc>
        <w:tc>
          <w:tcPr>
            <w:tcW w:w="62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4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4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6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636"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468"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588"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08"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80"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c>
          <w:tcPr>
            <w:tcW w:w="732" w:type="dxa"/>
            <w:tcBorders>
              <w:top w:val="nil"/>
              <w:left w:val="nil"/>
              <w:bottom w:val="single" w:color="auto" w:sz="4" w:space="0"/>
              <w:right w:val="single" w:color="auto" w:sz="4" w:space="0"/>
            </w:tcBorders>
            <w:shd w:val="clear" w:color="auto" w:fill="auto"/>
            <w:tcMar>
              <w:top w:w="0" w:type="dxa"/>
              <w:left w:w="84" w:type="dxa"/>
              <w:bottom w:w="0" w:type="dxa"/>
              <w:right w:w="84" w:type="dxa"/>
            </w:tcMar>
            <w:vAlign w:val="center"/>
          </w:tcPr>
          <w:p>
            <w:pPr>
              <w:pStyle w:val="4"/>
              <w:keepNext w:val="0"/>
              <w:keepLines w:val="0"/>
              <w:widowControl/>
              <w:suppressLineNumbers w:val="0"/>
              <w:rPr>
                <w:sz w:val="21"/>
                <w:szCs w:val="21"/>
              </w:rPr>
            </w:pPr>
            <w:r>
              <w:rPr>
                <w:rFonts w:hint="default" w:ascii="Times New Roman" w:hAnsi="Times New Roman" w:eastAsia="微软雅黑" w:cs="Times New Roman"/>
                <w:b w:val="0"/>
                <w:color w:val="000000"/>
                <w:sz w:val="21"/>
                <w:szCs w:val="21"/>
              </w:rPr>
              <w:t>0</w:t>
            </w:r>
          </w:p>
        </w:tc>
      </w:tr>
    </w:tbl>
    <w:p>
      <w:pPr>
        <w:pStyle w:val="4"/>
        <w:keepNext w:val="0"/>
        <w:keepLines w:val="0"/>
        <w:widowControl/>
        <w:numPr>
          <w:ilvl w:val="0"/>
          <w:numId w:val="0"/>
        </w:numPr>
        <w:suppressLineNumbers w:val="0"/>
        <w:spacing w:line="444" w:lineRule="atLeast"/>
        <w:ind w:leftChars="0" w:right="0" w:rightChars="0" w:firstLine="642" w:firstLineChars="200"/>
        <w:jc w:val="both"/>
        <w:rPr>
          <w:rFonts w:hint="eastAsia" w:ascii="仿宋_GB2312" w:hAnsi="仿宋_GB2312" w:eastAsia="仿宋_GB2312" w:cs="仿宋_GB2312"/>
          <w:b/>
          <w:bCs/>
          <w:kern w:val="2"/>
          <w:sz w:val="32"/>
          <w:szCs w:val="32"/>
          <w:lang w:eastAsia="zh-CN"/>
        </w:rPr>
      </w:pPr>
      <w:r>
        <w:rPr>
          <w:rFonts w:hint="eastAsia" w:ascii="仿宋_GB2312" w:hAnsi="仿宋_GB2312" w:eastAsia="仿宋_GB2312" w:cs="仿宋_GB2312"/>
          <w:b/>
          <w:bCs/>
          <w:kern w:val="2"/>
          <w:sz w:val="32"/>
          <w:szCs w:val="32"/>
          <w:lang w:eastAsia="zh-CN"/>
        </w:rPr>
        <w:t xml:space="preserve">五、存在的主要问题及改进情况 </w:t>
      </w:r>
    </w:p>
    <w:p>
      <w:pPr>
        <w:shd w:val="solid" w:color="FFFFFF" w:fill="auto"/>
        <w:autoSpaceDE w:val="0"/>
        <w:spacing w:line="560" w:lineRule="exact"/>
        <w:ind w:firstLine="640" w:firstLineChars="200"/>
        <w:jc w:val="left"/>
        <w:textAlignment w:val="baseline"/>
        <w:rPr>
          <w:rFonts w:hint="eastAsia" w:ascii="Times New Roman" w:hAnsi="Times New Roman" w:eastAsia="仿宋_GB2312" w:cs="仿宋_GB2312"/>
          <w:b w:val="0"/>
          <w:color w:val="000000"/>
          <w:sz w:val="32"/>
          <w:szCs w:val="32"/>
          <w:u w:val="none"/>
          <w:lang w:val="en-US" w:eastAsia="zh-CN"/>
        </w:rPr>
      </w:pPr>
      <w:r>
        <w:rPr>
          <w:rFonts w:hint="eastAsia" w:ascii="Times New Roman" w:hAnsi="Times New Roman" w:eastAsia="仿宋_GB2312" w:cs="仿宋_GB2312"/>
          <w:b w:val="0"/>
          <w:color w:val="000000"/>
          <w:sz w:val="32"/>
          <w:szCs w:val="32"/>
          <w:u w:val="none"/>
          <w:lang w:val="en-US" w:eastAsia="zh-CN"/>
        </w:rPr>
        <w:t>2020年高新区在推进政务公开工作中虽然做了大量的工作，取得了一定的成效，但是也存在一定的</w:t>
      </w:r>
      <w:r>
        <w:rPr>
          <w:rFonts w:hint="eastAsia" w:eastAsia="仿宋_GB2312" w:cs="仿宋_GB2312"/>
          <w:b w:val="0"/>
          <w:color w:val="000000"/>
          <w:sz w:val="32"/>
          <w:szCs w:val="32"/>
          <w:u w:val="none"/>
          <w:lang w:val="en-US" w:eastAsia="zh-CN"/>
        </w:rPr>
        <w:t>不足</w:t>
      </w:r>
      <w:r>
        <w:rPr>
          <w:rFonts w:hint="eastAsia" w:ascii="Times New Roman" w:hAnsi="Times New Roman" w:eastAsia="仿宋_GB2312" w:cs="仿宋_GB2312"/>
          <w:b w:val="0"/>
          <w:color w:val="000000"/>
          <w:sz w:val="32"/>
          <w:szCs w:val="32"/>
          <w:u w:val="none"/>
          <w:lang w:val="en-US" w:eastAsia="zh-CN"/>
        </w:rPr>
        <w:t>。</w:t>
      </w:r>
      <w:r>
        <w:rPr>
          <w:rFonts w:hint="eastAsia" w:eastAsia="仿宋_GB2312" w:cs="仿宋_GB2312"/>
          <w:b w:val="0"/>
          <w:color w:val="000000"/>
          <w:sz w:val="32"/>
          <w:szCs w:val="32"/>
          <w:u w:val="none"/>
          <w:lang w:val="en-US" w:eastAsia="zh-CN"/>
        </w:rPr>
        <w:t>一</w:t>
      </w:r>
      <w:r>
        <w:rPr>
          <w:rFonts w:hint="eastAsia" w:ascii="Times New Roman" w:hAnsi="Times New Roman" w:eastAsia="仿宋_GB2312" w:cs="仿宋_GB2312"/>
          <w:b w:val="0"/>
          <w:color w:val="000000"/>
          <w:sz w:val="32"/>
          <w:szCs w:val="32"/>
          <w:u w:val="none"/>
          <w:lang w:val="en-US" w:eastAsia="zh-CN"/>
        </w:rPr>
        <w:t>是2020年年底，高新区进行了机构改革。政务公开责任部门</w:t>
      </w:r>
      <w:r>
        <w:rPr>
          <w:rFonts w:hint="eastAsia" w:eastAsia="仿宋_GB2312" w:cs="仿宋_GB2312"/>
          <w:b w:val="0"/>
          <w:color w:val="000000"/>
          <w:sz w:val="32"/>
          <w:szCs w:val="32"/>
          <w:u w:val="none"/>
          <w:lang w:val="en-US" w:eastAsia="zh-CN"/>
        </w:rPr>
        <w:t>、</w:t>
      </w:r>
      <w:r>
        <w:rPr>
          <w:rFonts w:hint="eastAsia" w:ascii="Times New Roman" w:hAnsi="Times New Roman" w:eastAsia="仿宋_GB2312" w:cs="仿宋_GB2312"/>
          <w:b w:val="0"/>
          <w:color w:val="000000"/>
          <w:sz w:val="32"/>
          <w:szCs w:val="32"/>
          <w:u w:val="none"/>
          <w:lang w:val="en-US" w:eastAsia="zh-CN"/>
        </w:rPr>
        <w:t>重点工作分工及相关领域公开事项等都存在变动或调整，在此期间对上级的一些工作部署有所延误。</w:t>
      </w:r>
      <w:r>
        <w:rPr>
          <w:rFonts w:hint="eastAsia" w:eastAsia="仿宋_GB2312" w:cs="仿宋_GB2312"/>
          <w:b w:val="0"/>
          <w:color w:val="000000"/>
          <w:sz w:val="32"/>
          <w:szCs w:val="32"/>
          <w:u w:val="none"/>
          <w:lang w:val="en-US" w:eastAsia="zh-CN"/>
        </w:rPr>
        <w:t>二</w:t>
      </w:r>
      <w:r>
        <w:rPr>
          <w:rFonts w:hint="eastAsia" w:ascii="Times New Roman" w:hAnsi="Times New Roman" w:eastAsia="仿宋_GB2312" w:cs="仿宋_GB2312"/>
          <w:b w:val="0"/>
          <w:color w:val="000000"/>
          <w:sz w:val="32"/>
          <w:szCs w:val="32"/>
          <w:u w:val="none"/>
          <w:lang w:val="en-US" w:eastAsia="zh-CN"/>
        </w:rPr>
        <w:t>是政务公开队伍素质有待提升。各部门负责政务公开工作的人员多为一人多职，水平参差不齐，工作主动性不够，责任心有待提高。针对存在的问题，</w:t>
      </w:r>
      <w:r>
        <w:rPr>
          <w:rFonts w:hint="eastAsia" w:eastAsia="仿宋_GB2312" w:cs="仿宋_GB2312"/>
          <w:b w:val="0"/>
          <w:color w:val="000000"/>
          <w:sz w:val="32"/>
          <w:szCs w:val="32"/>
          <w:u w:val="none"/>
          <w:lang w:val="en-US" w:eastAsia="zh-CN"/>
        </w:rPr>
        <w:t>高新区</w:t>
      </w:r>
      <w:r>
        <w:rPr>
          <w:rFonts w:hint="eastAsia" w:ascii="Times New Roman" w:hAnsi="Times New Roman" w:eastAsia="仿宋_GB2312" w:cs="仿宋_GB2312"/>
          <w:b w:val="0"/>
          <w:color w:val="000000"/>
          <w:sz w:val="32"/>
          <w:szCs w:val="32"/>
          <w:u w:val="none"/>
          <w:lang w:val="en-US" w:eastAsia="zh-CN"/>
        </w:rPr>
        <w:t>将按照要求，着力解决薄弱环节。一是</w:t>
      </w:r>
      <w:r>
        <w:rPr>
          <w:rFonts w:hint="eastAsia" w:ascii="Times New Roman" w:hAnsi="Times New Roman" w:eastAsia="仿宋_GB2312" w:cs="仿宋_GB2312"/>
          <w:i w:val="0"/>
          <w:caps w:val="0"/>
          <w:color w:val="000000"/>
          <w:spacing w:val="0"/>
          <w:kern w:val="0"/>
          <w:sz w:val="32"/>
          <w:szCs w:val="32"/>
          <w:shd w:val="clear" w:fill="FFFFFF"/>
          <w:lang w:val="en-US" w:eastAsia="zh-CN" w:bidi="ar"/>
        </w:rPr>
        <w:t>按照《淄博市人民政府办公室关于印发淄博市全面推进基层政务公开标</w:t>
      </w:r>
      <w:r>
        <w:rPr>
          <w:rFonts w:hint="eastAsia" w:ascii="Times New Roman" w:hAnsi="Times New Roman" w:eastAsia="仿宋_GB2312" w:cs="仿宋_GB2312"/>
          <w:b w:val="0"/>
          <w:color w:val="000000"/>
          <w:sz w:val="32"/>
          <w:szCs w:val="32"/>
          <w:u w:val="none"/>
          <w:lang w:val="en-US" w:eastAsia="zh-CN"/>
        </w:rPr>
        <w:t>准化规范化工作实施方案的通知》（淄政办字</w:t>
      </w:r>
      <w:r>
        <w:rPr>
          <w:rFonts w:hint="default" w:ascii="Times New Roman" w:hAnsi="Times New Roman" w:eastAsia="仿宋_GB2312" w:cs="Times New Roman"/>
          <w:b w:val="0"/>
          <w:color w:val="000000"/>
          <w:sz w:val="32"/>
          <w:szCs w:val="32"/>
          <w:u w:val="none"/>
          <w:lang w:val="en-US" w:eastAsia="zh-CN"/>
        </w:rPr>
        <w:t>〔2020〕79</w:t>
      </w:r>
      <w:r>
        <w:rPr>
          <w:rFonts w:hint="eastAsia" w:ascii="Times New Roman" w:hAnsi="Times New Roman" w:eastAsia="仿宋_GB2312" w:cs="仿宋_GB2312"/>
          <w:b w:val="0"/>
          <w:color w:val="000000"/>
          <w:sz w:val="32"/>
          <w:szCs w:val="32"/>
          <w:u w:val="none"/>
          <w:lang w:val="en-US" w:eastAsia="zh-CN"/>
        </w:rPr>
        <w:t>号）要求，高新区各部门按照26个相关领域重新梳理政务公开事项标准目录</w:t>
      </w:r>
      <w:r>
        <w:rPr>
          <w:rFonts w:hint="eastAsia" w:ascii="仿宋_GB2312" w:hAnsi="仿宋" w:eastAsia="仿宋_GB2312" w:cs="仿宋"/>
          <w:bCs/>
          <w:sz w:val="32"/>
          <w:szCs w:val="32"/>
          <w:lang w:eastAsia="zh-CN"/>
        </w:rPr>
        <w:t>，并尽快完成政务公开栏目改版工作</w:t>
      </w:r>
      <w:r>
        <w:rPr>
          <w:rFonts w:hint="eastAsia" w:ascii="仿宋_GB2312" w:hAnsi="仿宋" w:eastAsia="仿宋_GB2312" w:cs="仿宋"/>
          <w:bCs/>
          <w:sz w:val="32"/>
          <w:szCs w:val="32"/>
        </w:rPr>
        <w:t>。</w:t>
      </w:r>
      <w:r>
        <w:rPr>
          <w:rFonts w:hint="eastAsia" w:ascii="仿宋_GB2312" w:hAnsi="仿宋" w:eastAsia="仿宋_GB2312" w:cs="仿宋"/>
          <w:bCs/>
          <w:sz w:val="32"/>
          <w:szCs w:val="32"/>
          <w:lang w:eastAsia="zh-CN"/>
        </w:rPr>
        <w:t>通过此项工作，进一步理顺政务公开工作重点以及各部门工作职责，为</w:t>
      </w:r>
      <w:r>
        <w:rPr>
          <w:rFonts w:hint="eastAsia" w:ascii="仿宋_GB2312" w:hAnsi="仿宋" w:eastAsia="仿宋_GB2312" w:cs="仿宋"/>
          <w:bCs/>
          <w:sz w:val="32"/>
          <w:szCs w:val="32"/>
          <w:lang w:val="en-US" w:eastAsia="zh-CN"/>
        </w:rPr>
        <w:t>2021年政务公开工作奠定良好的基础</w:t>
      </w:r>
      <w:r>
        <w:rPr>
          <w:rFonts w:hint="eastAsia" w:ascii="Times New Roman" w:hAnsi="Times New Roman" w:eastAsia="仿宋_GB2312" w:cs="仿宋_GB2312"/>
          <w:b w:val="0"/>
          <w:color w:val="000000"/>
          <w:sz w:val="32"/>
          <w:szCs w:val="32"/>
          <w:u w:val="none"/>
          <w:lang w:val="en-US" w:eastAsia="zh-CN"/>
        </w:rPr>
        <w:t>。二是继续加强对信息公开人员培训和指导工作。依据最新《条例》以及上级部门的相关要求，及时采取政策解读、培训会议等方式对相关人员进行业务培训和指导，提升信息公开工作的质量。</w:t>
      </w:r>
    </w:p>
    <w:p>
      <w:pPr>
        <w:pStyle w:val="4"/>
        <w:keepNext w:val="0"/>
        <w:keepLines w:val="0"/>
        <w:widowControl/>
        <w:numPr>
          <w:ilvl w:val="0"/>
          <w:numId w:val="0"/>
        </w:numPr>
        <w:suppressLineNumbers w:val="0"/>
        <w:spacing w:line="444" w:lineRule="atLeast"/>
        <w:ind w:leftChars="0" w:right="0" w:rightChars="0" w:firstLine="642" w:firstLineChars="200"/>
        <w:jc w:val="both"/>
        <w:rPr>
          <w:rFonts w:hint="eastAsia" w:ascii="仿宋_GB2312" w:hAnsi="仿宋_GB2312" w:eastAsia="仿宋_GB2312" w:cs="仿宋_GB2312"/>
          <w:b/>
          <w:bCs/>
          <w:kern w:val="2"/>
          <w:sz w:val="32"/>
          <w:szCs w:val="32"/>
          <w:lang w:eastAsia="zh-CN"/>
        </w:rPr>
      </w:pPr>
      <w:r>
        <w:rPr>
          <w:rFonts w:hint="eastAsia" w:ascii="仿宋_GB2312" w:hAnsi="仿宋_GB2312" w:eastAsia="仿宋_GB2312" w:cs="仿宋_GB2312"/>
          <w:b/>
          <w:bCs/>
          <w:kern w:val="2"/>
          <w:sz w:val="32"/>
          <w:szCs w:val="32"/>
          <w:lang w:eastAsia="zh-CN"/>
        </w:rPr>
        <w:t>六、</w:t>
      </w:r>
      <w:r>
        <w:rPr>
          <w:rFonts w:hint="default" w:ascii="仿宋_GB2312" w:hAnsi="仿宋_GB2312" w:eastAsia="仿宋_GB2312" w:cs="仿宋_GB2312"/>
          <w:b/>
          <w:bCs/>
          <w:kern w:val="2"/>
          <w:sz w:val="32"/>
          <w:szCs w:val="32"/>
          <w:lang w:eastAsia="zh-CN"/>
        </w:rPr>
        <w:t xml:space="preserve"> </w:t>
      </w:r>
      <w:r>
        <w:rPr>
          <w:rFonts w:hint="eastAsia" w:ascii="仿宋_GB2312" w:hAnsi="仿宋_GB2312" w:eastAsia="仿宋_GB2312" w:cs="仿宋_GB2312"/>
          <w:b/>
          <w:bCs/>
          <w:kern w:val="2"/>
          <w:sz w:val="32"/>
          <w:szCs w:val="32"/>
          <w:lang w:eastAsia="zh-CN"/>
        </w:rPr>
        <w:t xml:space="preserve">其他需要报告的事项 </w:t>
      </w:r>
    </w:p>
    <w:p>
      <w:pPr>
        <w:pStyle w:val="4"/>
        <w:keepNext w:val="0"/>
        <w:keepLines w:val="0"/>
        <w:widowControl/>
        <w:suppressLineNumbers w:val="0"/>
        <w:spacing w:line="468" w:lineRule="atLeast"/>
        <w:ind w:left="0" w:firstLine="516"/>
        <w:jc w:val="left"/>
        <w:rPr>
          <w:rFonts w:hint="eastAsia" w:ascii="Times New Roman" w:hAnsi="Times New Roman" w:eastAsia="仿宋_GB2312" w:cs="仿宋_GB2312"/>
          <w:b w:val="0"/>
          <w:color w:val="000000"/>
          <w:kern w:val="2"/>
          <w:sz w:val="32"/>
          <w:szCs w:val="32"/>
          <w:u w:val="none"/>
          <w:lang w:val="en-US" w:eastAsia="zh-CN"/>
        </w:rPr>
      </w:pPr>
      <w:r>
        <w:rPr>
          <w:rFonts w:hint="eastAsia" w:ascii="Times New Roman" w:hAnsi="Times New Roman" w:eastAsia="仿宋_GB2312" w:cs="仿宋_GB2312"/>
          <w:b w:val="0"/>
          <w:color w:val="000000"/>
          <w:kern w:val="2"/>
          <w:sz w:val="32"/>
          <w:szCs w:val="32"/>
          <w:u w:val="none"/>
          <w:lang w:val="en-US" w:eastAsia="zh-CN"/>
        </w:rPr>
        <w:t>无。</w:t>
      </w:r>
    </w:p>
    <w:p>
      <w:pPr>
        <w:pStyle w:val="4"/>
        <w:keepNext w:val="0"/>
        <w:keepLines w:val="0"/>
        <w:widowControl/>
        <w:numPr>
          <w:ilvl w:val="0"/>
          <w:numId w:val="0"/>
        </w:numPr>
        <w:suppressLineNumbers w:val="0"/>
        <w:spacing w:line="444" w:lineRule="atLeast"/>
        <w:ind w:right="0" w:rightChars="0" w:firstLine="2240" w:firstLineChars="700"/>
        <w:jc w:val="both"/>
        <w:rPr>
          <w:rFonts w:hint="eastAsia" w:ascii="仿宋" w:hAnsi="仿宋" w:eastAsia="仿宋"/>
          <w:sz w:val="32"/>
        </w:rPr>
      </w:pPr>
      <w:r>
        <w:rPr>
          <w:rFonts w:hint="eastAsia" w:ascii="仿宋" w:hAnsi="仿宋" w:eastAsia="仿宋"/>
          <w:sz w:val="32"/>
        </w:rPr>
        <w:t>淄博高新技术产业开发区管理委员会办公室</w:t>
      </w:r>
    </w:p>
    <w:p>
      <w:pPr>
        <w:pStyle w:val="4"/>
        <w:keepNext w:val="0"/>
        <w:keepLines w:val="0"/>
        <w:widowControl/>
        <w:numPr>
          <w:ilvl w:val="0"/>
          <w:numId w:val="0"/>
        </w:numPr>
        <w:suppressLineNumbers w:val="0"/>
        <w:spacing w:line="444" w:lineRule="atLeast"/>
        <w:ind w:right="0" w:rightChars="0" w:firstLine="2240" w:firstLineChars="700"/>
        <w:jc w:val="both"/>
        <w:rPr>
          <w:rFonts w:hint="eastAsia" w:ascii="仿宋_GB2312" w:hAnsi="仿宋_GB2312" w:eastAsia="仿宋_GB2312" w:cs="仿宋_GB2312"/>
          <w:i w:val="0"/>
          <w:caps w:val="0"/>
          <w:color w:val="000000"/>
          <w:spacing w:val="0"/>
          <w:sz w:val="32"/>
          <w:szCs w:val="32"/>
          <w:lang w:eastAsia="zh-CN"/>
        </w:rPr>
      </w:pPr>
      <w:r>
        <w:rPr>
          <w:rFonts w:hint="eastAsia" w:ascii="仿宋" w:hAnsi="仿宋" w:eastAsia="仿宋"/>
          <w:sz w:val="32"/>
          <w:lang w:val="en-US" w:eastAsia="zh-CN"/>
        </w:rPr>
        <w:t xml:space="preserve">            2021年2月18日</w:t>
      </w: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Yu Mincho Light">
    <w:altName w:val="宋体"/>
    <w:panose1 w:val="00000000000000000000"/>
    <w:charset w:val="80"/>
    <w:family w:val="auto"/>
    <w:pitch w:val="default"/>
    <w:sig w:usb0="00000000" w:usb1="00000000" w:usb2="00000012" w:usb3="00000000" w:csb0="0002009F" w:csb1="00000000"/>
  </w:font>
  <w:font w:name="方正小标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仿宋">
    <w:altName w:val="宋体"/>
    <w:panose1 w:val="02010609060101010101"/>
    <w:charset w:val="86"/>
    <w:family w:val="auto"/>
    <w:pitch w:val="default"/>
    <w:sig w:usb0="00000000" w:usb1="00000000" w:usb2="00000016" w:usb3="00000000" w:csb0="00040001" w:csb1="00000000"/>
  </w:font>
  <w:font w:name="Nimbus Roman No9 L">
    <w:panose1 w:val="00000000000000000000"/>
    <w:charset w:val="00"/>
    <w:family w:val="auto"/>
    <w:pitch w:val="default"/>
    <w:sig w:usb0="00000000" w:usb1="00000000" w:usb2="00000000" w:usb3="00000000" w:csb0="00000000" w:csb1="00000000"/>
  </w:font>
  <w:font w:name="方正黑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BF65D6"/>
    <w:rsid w:val="02C94C60"/>
    <w:rsid w:val="02D4491F"/>
    <w:rsid w:val="032F4C66"/>
    <w:rsid w:val="0343284C"/>
    <w:rsid w:val="042743F0"/>
    <w:rsid w:val="04B966E7"/>
    <w:rsid w:val="07D15717"/>
    <w:rsid w:val="09A67596"/>
    <w:rsid w:val="09BC648D"/>
    <w:rsid w:val="0B887A55"/>
    <w:rsid w:val="0C24014F"/>
    <w:rsid w:val="0C5C6D54"/>
    <w:rsid w:val="0CEE787C"/>
    <w:rsid w:val="0DB97A3C"/>
    <w:rsid w:val="0DCB38F9"/>
    <w:rsid w:val="0DE4265C"/>
    <w:rsid w:val="111E1B58"/>
    <w:rsid w:val="136110CF"/>
    <w:rsid w:val="1386210A"/>
    <w:rsid w:val="13995D36"/>
    <w:rsid w:val="146D5B40"/>
    <w:rsid w:val="14A05C07"/>
    <w:rsid w:val="15751856"/>
    <w:rsid w:val="15932EF9"/>
    <w:rsid w:val="17320A1E"/>
    <w:rsid w:val="196528DB"/>
    <w:rsid w:val="1A1504AA"/>
    <w:rsid w:val="1A5E0D24"/>
    <w:rsid w:val="1A8111F5"/>
    <w:rsid w:val="1D196183"/>
    <w:rsid w:val="1DC832C8"/>
    <w:rsid w:val="1F393D94"/>
    <w:rsid w:val="1F7E1527"/>
    <w:rsid w:val="202D72E4"/>
    <w:rsid w:val="21476640"/>
    <w:rsid w:val="21EE4526"/>
    <w:rsid w:val="22250165"/>
    <w:rsid w:val="23A2548B"/>
    <w:rsid w:val="24785A11"/>
    <w:rsid w:val="28585515"/>
    <w:rsid w:val="28BE59EF"/>
    <w:rsid w:val="29D63FF4"/>
    <w:rsid w:val="2A3553CC"/>
    <w:rsid w:val="2AC77D97"/>
    <w:rsid w:val="2D776449"/>
    <w:rsid w:val="2FE60EB3"/>
    <w:rsid w:val="307007D4"/>
    <w:rsid w:val="307B3F77"/>
    <w:rsid w:val="320B5D8E"/>
    <w:rsid w:val="33D46A19"/>
    <w:rsid w:val="33E11113"/>
    <w:rsid w:val="3471160E"/>
    <w:rsid w:val="35A5792F"/>
    <w:rsid w:val="35B77EC7"/>
    <w:rsid w:val="35BB0331"/>
    <w:rsid w:val="36716577"/>
    <w:rsid w:val="376E004B"/>
    <w:rsid w:val="38944BB7"/>
    <w:rsid w:val="389778AE"/>
    <w:rsid w:val="39CE3B0C"/>
    <w:rsid w:val="3AF4521C"/>
    <w:rsid w:val="3C014155"/>
    <w:rsid w:val="40F954B7"/>
    <w:rsid w:val="416217BC"/>
    <w:rsid w:val="419BD0FA"/>
    <w:rsid w:val="427A3940"/>
    <w:rsid w:val="43041096"/>
    <w:rsid w:val="43582B2E"/>
    <w:rsid w:val="43EE4A4D"/>
    <w:rsid w:val="46481FDB"/>
    <w:rsid w:val="474D61F2"/>
    <w:rsid w:val="47C55C42"/>
    <w:rsid w:val="48BE18E5"/>
    <w:rsid w:val="48C52517"/>
    <w:rsid w:val="4A4B39D3"/>
    <w:rsid w:val="4AD54582"/>
    <w:rsid w:val="4B2978BF"/>
    <w:rsid w:val="4C06146A"/>
    <w:rsid w:val="4C4B1FAF"/>
    <w:rsid w:val="4C572AD5"/>
    <w:rsid w:val="4D41604B"/>
    <w:rsid w:val="4E2B0266"/>
    <w:rsid w:val="50AB3362"/>
    <w:rsid w:val="50FC2FFC"/>
    <w:rsid w:val="521E1199"/>
    <w:rsid w:val="52637CE1"/>
    <w:rsid w:val="536D42FC"/>
    <w:rsid w:val="53972573"/>
    <w:rsid w:val="53AB6946"/>
    <w:rsid w:val="53BF6A91"/>
    <w:rsid w:val="5416428F"/>
    <w:rsid w:val="548C47DC"/>
    <w:rsid w:val="55532948"/>
    <w:rsid w:val="560759F3"/>
    <w:rsid w:val="56097B55"/>
    <w:rsid w:val="562E79A3"/>
    <w:rsid w:val="56B31E22"/>
    <w:rsid w:val="57371BDC"/>
    <w:rsid w:val="598F28F8"/>
    <w:rsid w:val="5C970D48"/>
    <w:rsid w:val="5CAF4D60"/>
    <w:rsid w:val="5E65595A"/>
    <w:rsid w:val="5ECD0BE5"/>
    <w:rsid w:val="60241A24"/>
    <w:rsid w:val="605971C8"/>
    <w:rsid w:val="6066729A"/>
    <w:rsid w:val="61061A08"/>
    <w:rsid w:val="623F1E30"/>
    <w:rsid w:val="628A5B33"/>
    <w:rsid w:val="63F65095"/>
    <w:rsid w:val="64246AB4"/>
    <w:rsid w:val="64377122"/>
    <w:rsid w:val="64BF0116"/>
    <w:rsid w:val="6A413138"/>
    <w:rsid w:val="6AAD56BE"/>
    <w:rsid w:val="6AB919EB"/>
    <w:rsid w:val="6B5C197F"/>
    <w:rsid w:val="6C4C25A2"/>
    <w:rsid w:val="6C95162E"/>
    <w:rsid w:val="6D3D0697"/>
    <w:rsid w:val="6D925C13"/>
    <w:rsid w:val="6DBC5A13"/>
    <w:rsid w:val="6E23261D"/>
    <w:rsid w:val="6E736295"/>
    <w:rsid w:val="6EE16E47"/>
    <w:rsid w:val="6FAA3D87"/>
    <w:rsid w:val="6FC87EAD"/>
    <w:rsid w:val="70024BBB"/>
    <w:rsid w:val="706A2BA4"/>
    <w:rsid w:val="70727ED0"/>
    <w:rsid w:val="70F15A31"/>
    <w:rsid w:val="7153628D"/>
    <w:rsid w:val="72B415C3"/>
    <w:rsid w:val="732C53E5"/>
    <w:rsid w:val="77DA6615"/>
    <w:rsid w:val="77E1601B"/>
    <w:rsid w:val="77F32006"/>
    <w:rsid w:val="799C7C8A"/>
    <w:rsid w:val="7A8A6D31"/>
    <w:rsid w:val="7B507E39"/>
    <w:rsid w:val="7BC86451"/>
    <w:rsid w:val="7C880B78"/>
    <w:rsid w:val="7CDF0577"/>
    <w:rsid w:val="95BE4B4E"/>
    <w:rsid w:val="A7DCE826"/>
    <w:rsid w:val="B96F5A48"/>
    <w:rsid w:val="BBBBA238"/>
    <w:rsid w:val="F6BF1DB2"/>
    <w:rsid w:val="FCEE2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qFormat/>
    <w:uiPriority w:val="0"/>
    <w:pPr>
      <w:keepNext/>
      <w:keepLines/>
      <w:spacing w:before="260" w:beforeLines="0" w:after="260" w:afterLines="0" w:line="416" w:lineRule="auto"/>
      <w:outlineLvl w:val="2"/>
    </w:pPr>
    <w:rPr>
      <w:rFonts w:ascii="Yu Mincho Light" w:hAnsi="Yu Mincho Light" w:cs="Yu Mincho Light"/>
      <w:b/>
      <w:bCs/>
      <w:sz w:val="32"/>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FollowedHyperlink"/>
    <w:basedOn w:val="6"/>
    <w:qFormat/>
    <w:uiPriority w:val="0"/>
    <w:rPr>
      <w:color w:val="800080"/>
      <w:u w:val="none"/>
    </w:rPr>
  </w:style>
  <w:style w:type="character" w:styleId="9">
    <w:name w:val="Hyperlink"/>
    <w:basedOn w:val="6"/>
    <w:qFormat/>
    <w:uiPriority w:val="0"/>
    <w:rPr>
      <w:color w:val="0000FF"/>
      <w:u w:val="none"/>
    </w:rPr>
  </w:style>
  <w:style w:type="character" w:customStyle="1" w:styleId="10">
    <w:name w:val="hover15"/>
    <w:basedOn w:val="6"/>
    <w:qFormat/>
    <w:uiPriority w:val="0"/>
    <w:rPr>
      <w:color w:val="FFFFFF"/>
    </w:rPr>
  </w:style>
  <w:style w:type="character" w:customStyle="1" w:styleId="11">
    <w:name w:val="hover4"/>
    <w:basedOn w:val="6"/>
    <w:qFormat/>
    <w:uiPriority w:val="0"/>
    <w:rPr>
      <w:color w:val="FFFFFF"/>
    </w:rPr>
  </w:style>
  <w:style w:type="character" w:customStyle="1" w:styleId="12">
    <w:name w:val="hover14"/>
    <w:basedOn w:val="6"/>
    <w:qFormat/>
    <w:uiPriority w:val="0"/>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TotalTime>
  <ScaleCrop>false</ScaleCrop>
  <LinksUpToDate>false</LinksUpToDate>
  <CharactersWithSpaces>0</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2021-01-21T02:10:00Z</dcterms:created>
  <dc:creator>Administrator</dc:creator>
  <cp:lastModifiedBy>dsjk</cp:lastModifiedBy>
  <dcterms:modified xsi:type="dcterms:W3CDTF">2021-02-25T08:49:33Z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ies>
</file>