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</w:rPr>
      </w:pPr>
    </w:p>
    <w:p>
      <w:pPr>
        <w:jc w:val="center"/>
        <w:rPr>
          <w:rFonts w:hint="eastAsia" w:ascii="黑体" w:hAnsi="黑体" w:eastAsia="黑体" w:cs="黑体"/>
          <w:b/>
          <w:sz w:val="44"/>
          <w:szCs w:val="44"/>
        </w:rPr>
      </w:pPr>
      <w:r>
        <w:rPr>
          <w:rFonts w:hint="eastAsia" w:ascii="黑体" w:hAnsi="黑体" w:eastAsia="黑体" w:cs="黑体"/>
          <w:b/>
          <w:color w:val="3D3D3D"/>
          <w:sz w:val="44"/>
          <w:szCs w:val="44"/>
        </w:rPr>
        <w:t>宝山生态科技园区201</w:t>
      </w:r>
      <w:r>
        <w:rPr>
          <w:rFonts w:hint="eastAsia" w:ascii="黑体" w:hAnsi="黑体" w:eastAsia="黑体" w:cs="黑体"/>
          <w:b/>
          <w:color w:val="3D3D3D"/>
          <w:sz w:val="44"/>
          <w:szCs w:val="44"/>
          <w:lang w:val="en-US" w:eastAsia="zh-CN"/>
        </w:rPr>
        <w:t>9</w:t>
      </w:r>
      <w:r>
        <w:rPr>
          <w:rFonts w:hint="eastAsia" w:ascii="黑体" w:hAnsi="黑体" w:eastAsia="黑体" w:cs="黑体"/>
          <w:b/>
          <w:color w:val="3D3D3D"/>
          <w:sz w:val="44"/>
          <w:szCs w:val="44"/>
        </w:rPr>
        <w:t>年政府信息公开工作年度报告</w:t>
      </w:r>
    </w:p>
    <w:p>
      <w:pPr>
        <w:jc w:val="center"/>
        <w:rPr>
          <w:rFonts w:hint="eastAsia"/>
          <w:b/>
          <w:sz w:val="36"/>
          <w:szCs w:val="36"/>
        </w:rPr>
      </w:pPr>
    </w:p>
    <w:p>
      <w:pPr>
        <w:numPr>
          <w:ilvl w:val="0"/>
          <w:numId w:val="1"/>
        </w:numPr>
        <w:rPr>
          <w:rFonts w:hint="eastAsia" w:ascii="Adobe 仿宋 Std R" w:hAnsi="Adobe 仿宋 Std R" w:eastAsia="Adobe 仿宋 Std R" w:cs="Adobe 仿宋 Std R"/>
          <w:b/>
          <w:sz w:val="28"/>
          <w:szCs w:val="28"/>
        </w:rPr>
      </w:pPr>
      <w:r>
        <w:rPr>
          <w:rFonts w:hint="eastAsia" w:ascii="Adobe 仿宋 Std R" w:hAnsi="Adobe 仿宋 Std R" w:eastAsia="Adobe 仿宋 Std R" w:cs="Adobe 仿宋 Std R"/>
          <w:b/>
          <w:sz w:val="28"/>
          <w:szCs w:val="28"/>
        </w:rPr>
        <w:t>总体情况</w:t>
      </w:r>
    </w:p>
    <w:p>
      <w:pPr>
        <w:pStyle w:val="2"/>
        <w:keepNext w:val="0"/>
        <w:keepLines w:val="0"/>
        <w:widowControl/>
        <w:suppressLineNumbers w:val="0"/>
        <w:spacing w:line="525" w:lineRule="atLeast"/>
        <w:ind w:left="0" w:firstLine="645"/>
        <w:jc w:val="left"/>
        <w:rPr>
          <w:rFonts w:hint="eastAsia" w:ascii="仿宋" w:hAnsi="仿宋" w:eastAsia="仿宋" w:cs="仿宋"/>
          <w:b w:val="0"/>
          <w:color w:val="3D3D3D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b w:val="0"/>
          <w:color w:val="3D3D3D"/>
          <w:spacing w:val="0"/>
          <w:sz w:val="32"/>
          <w:szCs w:val="32"/>
          <w:u w:val="none"/>
          <w:lang w:val="en-US" w:eastAsia="zh-CN"/>
        </w:rPr>
        <w:t>2019</w:t>
      </w:r>
      <w:r>
        <w:rPr>
          <w:rFonts w:hint="eastAsia" w:ascii="仿宋" w:hAnsi="仿宋" w:eastAsia="仿宋" w:cs="仿宋"/>
          <w:b w:val="0"/>
          <w:color w:val="3D3D3D"/>
          <w:spacing w:val="0"/>
          <w:sz w:val="32"/>
          <w:szCs w:val="32"/>
          <w:u w:val="none"/>
        </w:rPr>
        <w:t>年，宝山生态科技园区根据《中华人民共和国政府信息公开条例》和《山东省政府信息公开办法》要求，宝山生态科技园区主动公开政府信息，积极接受群众监督，群众满意度和部门公信力明显提升。</w:t>
      </w:r>
    </w:p>
    <w:p>
      <w:pPr>
        <w:pStyle w:val="2"/>
        <w:keepNext w:val="0"/>
        <w:keepLines w:val="0"/>
        <w:widowControl/>
        <w:suppressLineNumbers w:val="0"/>
        <w:spacing w:line="525" w:lineRule="atLeast"/>
        <w:ind w:left="0" w:firstLine="645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  <w:shd w:val="clear" w:fill="FFFFFF"/>
          <w:lang w:val="en-US" w:eastAsia="zh-CN"/>
        </w:rPr>
        <w:t>1.</w:t>
      </w:r>
      <w: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  <w:shd w:val="clear" w:fill="FFFFFF"/>
        </w:rPr>
        <w:t>政府信息公开的组织领导和制度建设情况</w:t>
      </w:r>
    </w:p>
    <w:p>
      <w:pPr>
        <w:pStyle w:val="2"/>
        <w:keepNext w:val="0"/>
        <w:keepLines w:val="0"/>
        <w:widowControl/>
        <w:suppressLineNumbers w:val="0"/>
        <w:spacing w:line="525" w:lineRule="atLeast"/>
        <w:ind w:left="0" w:firstLine="645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  <w:shd w:val="clear" w:fill="FFFFFF"/>
        </w:rPr>
        <w:t>加强组织领导，为确保信息公开工作落到实处，成立了宝山园区政府信息公开领导小组。下设办公室,办公室设在综合科，由主要领导亲自抓，综合科负责推进、指导、协调、监督园区政府信息公开工作，并配备专人负责信息公开工作的收集、审核和发布。保证工作的顺利开展。</w:t>
      </w:r>
      <w: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</w:rPr>
        <w:t> </w:t>
      </w:r>
    </w:p>
    <w:p>
      <w:pPr>
        <w:pStyle w:val="2"/>
        <w:keepNext w:val="0"/>
        <w:keepLines w:val="0"/>
        <w:widowControl/>
        <w:suppressLineNumbers w:val="0"/>
        <w:spacing w:line="525" w:lineRule="atLeast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</w:rPr>
        <w:t>   </w:t>
      </w:r>
      <w: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  <w:lang w:val="en-US" w:eastAsia="zh-CN"/>
        </w:rPr>
        <w:t xml:space="preserve">   2.</w:t>
      </w:r>
      <w: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</w:rPr>
        <w:t> </w:t>
      </w:r>
      <w: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  <w:shd w:val="clear" w:fill="FFFFFF"/>
        </w:rPr>
        <w:t>严格工作要求，对具体负责信息公开的工作人员进行专业培训，严格落实政府信息公开范围、程序、方法等相关规定。不断完善政府信息公开发布审核机制，层层把关，加强对实施政府信息公开全过程的监督保障。</w:t>
      </w:r>
    </w:p>
    <w:p>
      <w:pPr>
        <w:pStyle w:val="2"/>
        <w:keepNext w:val="0"/>
        <w:keepLines w:val="0"/>
        <w:widowControl/>
        <w:suppressLineNumbers w:val="0"/>
        <w:spacing w:line="525" w:lineRule="atLeas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  <w:shd w:val="clear" w:fill="FFFFFF"/>
          <w:lang w:val="en-US" w:eastAsia="zh-CN"/>
        </w:rPr>
        <w:t>3.</w:t>
      </w:r>
      <w: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  <w:shd w:val="clear" w:fill="FFFFFF"/>
        </w:rPr>
        <w:t>强化监督落实，将政府信息公开工作纳入年度目标责任制考核内容，加强对政府信息公开工作的监督检查，确保按时、按要求、按质量地完成政府信息公开工作。</w:t>
      </w:r>
    </w:p>
    <w:p>
      <w:pPr>
        <w:numPr>
          <w:ilvl w:val="0"/>
          <w:numId w:val="0"/>
        </w:numPr>
        <w:rPr>
          <w:rFonts w:hint="eastAsia"/>
          <w:b/>
          <w:sz w:val="28"/>
          <w:szCs w:val="28"/>
        </w:rPr>
      </w:pPr>
    </w:p>
    <w:p>
      <w:pPr>
        <w:rPr>
          <w:rFonts w:hint="eastAsia"/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二、主动公开政府信息情况</w:t>
      </w:r>
    </w:p>
    <w:p>
      <w:pPr>
        <w:rPr>
          <w:rFonts w:hint="eastAsia"/>
          <w:b/>
          <w:sz w:val="24"/>
          <w:szCs w:val="24"/>
        </w:rPr>
      </w:pPr>
    </w:p>
    <w:tbl>
      <w:tblPr>
        <w:tblStyle w:val="4"/>
        <w:tblW w:w="89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94"/>
        <w:gridCol w:w="1985"/>
        <w:gridCol w:w="2030"/>
        <w:gridCol w:w="22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  <w:jc w:val="center"/>
        </w:trPr>
        <w:tc>
          <w:tcPr>
            <w:tcW w:w="8931" w:type="dxa"/>
            <w:gridSpan w:val="4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第二十条第（一）项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2694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信息内容</w:t>
            </w:r>
          </w:p>
        </w:tc>
        <w:tc>
          <w:tcPr>
            <w:tcW w:w="1985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本年新制作数量</w:t>
            </w:r>
          </w:p>
        </w:tc>
        <w:tc>
          <w:tcPr>
            <w:tcW w:w="2030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本年新</w:t>
            </w:r>
          </w:p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公开数量</w:t>
            </w:r>
          </w:p>
        </w:tc>
        <w:tc>
          <w:tcPr>
            <w:tcW w:w="2222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对外公开</w:t>
            </w:r>
          </w:p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总数量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2694" w:type="dxa"/>
            <w:vAlign w:val="center"/>
          </w:tcPr>
          <w:p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规章</w:t>
            </w:r>
          </w:p>
        </w:tc>
        <w:tc>
          <w:tcPr>
            <w:tcW w:w="1985" w:type="dxa"/>
            <w:vAlign w:val="center"/>
          </w:tcPr>
          <w:p>
            <w:pPr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030" w:type="dxa"/>
            <w:vAlign w:val="center"/>
          </w:tcPr>
          <w:p>
            <w:pPr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222" w:type="dxa"/>
            <w:vAlign w:val="center"/>
          </w:tcPr>
          <w:p>
            <w:pPr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  <w:jc w:val="center"/>
        </w:trPr>
        <w:tc>
          <w:tcPr>
            <w:tcW w:w="2694" w:type="dxa"/>
            <w:vAlign w:val="center"/>
          </w:tcPr>
          <w:p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规范性文件</w:t>
            </w:r>
          </w:p>
        </w:tc>
        <w:tc>
          <w:tcPr>
            <w:tcW w:w="1985" w:type="dxa"/>
            <w:vAlign w:val="center"/>
          </w:tcPr>
          <w:p>
            <w:pPr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无</w:t>
            </w:r>
          </w:p>
        </w:tc>
        <w:tc>
          <w:tcPr>
            <w:tcW w:w="2030" w:type="dxa"/>
            <w:vAlign w:val="center"/>
          </w:tcPr>
          <w:p>
            <w:pPr>
              <w:rPr>
                <w:rFonts w:hint="default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无</w:t>
            </w:r>
          </w:p>
        </w:tc>
        <w:tc>
          <w:tcPr>
            <w:tcW w:w="2222" w:type="dxa"/>
            <w:vAlign w:val="center"/>
          </w:tcPr>
          <w:p>
            <w:pPr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8931" w:type="dxa"/>
            <w:gridSpan w:val="4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第二十条第（五）项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2694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信息内容</w:t>
            </w:r>
          </w:p>
        </w:tc>
        <w:tc>
          <w:tcPr>
            <w:tcW w:w="1985" w:type="dxa"/>
            <w:vAlign w:val="center"/>
          </w:tcPr>
          <w:p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上一年项目数量</w:t>
            </w:r>
          </w:p>
        </w:tc>
        <w:tc>
          <w:tcPr>
            <w:tcW w:w="2030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本年增/减</w:t>
            </w:r>
          </w:p>
        </w:tc>
        <w:tc>
          <w:tcPr>
            <w:tcW w:w="2222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处理决定数量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2694" w:type="dxa"/>
            <w:vAlign w:val="center"/>
          </w:tcPr>
          <w:p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行政许可</w:t>
            </w:r>
          </w:p>
        </w:tc>
        <w:tc>
          <w:tcPr>
            <w:tcW w:w="1985" w:type="dxa"/>
            <w:vAlign w:val="center"/>
          </w:tcPr>
          <w:p>
            <w:pPr>
              <w:rPr>
                <w:rFonts w:hint="default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</w:t>
            </w:r>
          </w:p>
        </w:tc>
        <w:tc>
          <w:tcPr>
            <w:tcW w:w="2030" w:type="dxa"/>
            <w:vAlign w:val="center"/>
          </w:tcPr>
          <w:p>
            <w:pPr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2222" w:type="dxa"/>
            <w:vAlign w:val="center"/>
          </w:tcPr>
          <w:p>
            <w:pPr>
              <w:rPr>
                <w:rFonts w:hint="default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157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2694" w:type="dxa"/>
            <w:vAlign w:val="center"/>
          </w:tcPr>
          <w:p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其他对外管理服务事项</w:t>
            </w:r>
          </w:p>
        </w:tc>
        <w:tc>
          <w:tcPr>
            <w:tcW w:w="1985" w:type="dxa"/>
            <w:vAlign w:val="center"/>
          </w:tcPr>
          <w:p>
            <w:pPr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无</w:t>
            </w:r>
          </w:p>
        </w:tc>
        <w:tc>
          <w:tcPr>
            <w:tcW w:w="2030" w:type="dxa"/>
            <w:vAlign w:val="center"/>
          </w:tcPr>
          <w:p>
            <w:pPr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无</w:t>
            </w:r>
          </w:p>
        </w:tc>
        <w:tc>
          <w:tcPr>
            <w:tcW w:w="2222" w:type="dxa"/>
            <w:vAlign w:val="center"/>
          </w:tcPr>
          <w:p>
            <w:pPr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8931" w:type="dxa"/>
            <w:gridSpan w:val="4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第二十条第（六）项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  <w:jc w:val="center"/>
        </w:trPr>
        <w:tc>
          <w:tcPr>
            <w:tcW w:w="2694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信息内容</w:t>
            </w:r>
          </w:p>
        </w:tc>
        <w:tc>
          <w:tcPr>
            <w:tcW w:w="1985" w:type="dxa"/>
            <w:vAlign w:val="center"/>
          </w:tcPr>
          <w:p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上一年项目数量</w:t>
            </w:r>
          </w:p>
        </w:tc>
        <w:tc>
          <w:tcPr>
            <w:tcW w:w="2030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本年增/减</w:t>
            </w:r>
          </w:p>
        </w:tc>
        <w:tc>
          <w:tcPr>
            <w:tcW w:w="2222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处理决定数量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  <w:jc w:val="center"/>
        </w:trPr>
        <w:tc>
          <w:tcPr>
            <w:tcW w:w="2694" w:type="dxa"/>
            <w:vAlign w:val="center"/>
          </w:tcPr>
          <w:p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行政处罚</w:t>
            </w:r>
          </w:p>
        </w:tc>
        <w:tc>
          <w:tcPr>
            <w:tcW w:w="1985" w:type="dxa"/>
            <w:vAlign w:val="center"/>
          </w:tcPr>
          <w:p>
            <w:pPr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无</w:t>
            </w:r>
          </w:p>
        </w:tc>
        <w:tc>
          <w:tcPr>
            <w:tcW w:w="2030" w:type="dxa"/>
            <w:vAlign w:val="center"/>
          </w:tcPr>
          <w:p>
            <w:pPr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无</w:t>
            </w:r>
          </w:p>
        </w:tc>
        <w:tc>
          <w:tcPr>
            <w:tcW w:w="2222" w:type="dxa"/>
            <w:vAlign w:val="center"/>
          </w:tcPr>
          <w:p>
            <w:pPr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  <w:jc w:val="center"/>
        </w:trPr>
        <w:tc>
          <w:tcPr>
            <w:tcW w:w="2694" w:type="dxa"/>
            <w:vAlign w:val="center"/>
          </w:tcPr>
          <w:p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行政强制</w:t>
            </w:r>
          </w:p>
        </w:tc>
        <w:tc>
          <w:tcPr>
            <w:tcW w:w="1985" w:type="dxa"/>
            <w:vAlign w:val="center"/>
          </w:tcPr>
          <w:p>
            <w:pPr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无</w:t>
            </w:r>
          </w:p>
        </w:tc>
        <w:tc>
          <w:tcPr>
            <w:tcW w:w="2030" w:type="dxa"/>
            <w:vAlign w:val="center"/>
          </w:tcPr>
          <w:p>
            <w:pPr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无</w:t>
            </w:r>
          </w:p>
        </w:tc>
        <w:tc>
          <w:tcPr>
            <w:tcW w:w="2222" w:type="dxa"/>
            <w:vAlign w:val="center"/>
          </w:tcPr>
          <w:p>
            <w:pPr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8931" w:type="dxa"/>
            <w:gridSpan w:val="4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第二十条第（八）项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2694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信息内容</w:t>
            </w:r>
          </w:p>
        </w:tc>
        <w:tc>
          <w:tcPr>
            <w:tcW w:w="1985" w:type="dxa"/>
            <w:vAlign w:val="center"/>
          </w:tcPr>
          <w:p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上一年项目数量</w:t>
            </w:r>
          </w:p>
        </w:tc>
        <w:tc>
          <w:tcPr>
            <w:tcW w:w="4252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本年增/减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2694" w:type="dxa"/>
            <w:vAlign w:val="center"/>
          </w:tcPr>
          <w:p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行政事业性收费</w:t>
            </w:r>
          </w:p>
        </w:tc>
        <w:tc>
          <w:tcPr>
            <w:tcW w:w="1985" w:type="dxa"/>
            <w:vAlign w:val="center"/>
          </w:tcPr>
          <w:p>
            <w:pPr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无</w:t>
            </w:r>
          </w:p>
        </w:tc>
        <w:tc>
          <w:tcPr>
            <w:tcW w:w="4252" w:type="dxa"/>
            <w:gridSpan w:val="2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  <w:jc w:val="center"/>
        </w:trPr>
        <w:tc>
          <w:tcPr>
            <w:tcW w:w="8931" w:type="dxa"/>
            <w:gridSpan w:val="4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第二十条第（九）项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2694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信息内容</w:t>
            </w:r>
          </w:p>
        </w:tc>
        <w:tc>
          <w:tcPr>
            <w:tcW w:w="1985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采购项目数量</w:t>
            </w:r>
          </w:p>
        </w:tc>
        <w:tc>
          <w:tcPr>
            <w:tcW w:w="4252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采购总金额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2694" w:type="dxa"/>
            <w:vAlign w:val="center"/>
          </w:tcPr>
          <w:p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政府集中采购</w:t>
            </w:r>
          </w:p>
        </w:tc>
        <w:tc>
          <w:tcPr>
            <w:tcW w:w="1985" w:type="dxa"/>
            <w:vAlign w:val="center"/>
          </w:tcPr>
          <w:p>
            <w:pPr>
              <w:rPr>
                <w:rFonts w:hint="default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4252" w:type="dxa"/>
            <w:gridSpan w:val="2"/>
            <w:vAlign w:val="center"/>
          </w:tcPr>
          <w:p>
            <w:pPr>
              <w:rPr>
                <w:rFonts w:hint="eastAsia" w:eastAsia="宋体"/>
                <w:sz w:val="24"/>
                <w:szCs w:val="24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209740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元</w:t>
            </w:r>
          </w:p>
        </w:tc>
      </w:tr>
    </w:tbl>
    <w:p>
      <w:pPr>
        <w:rPr>
          <w:rFonts w:hint="eastAsia"/>
        </w:rPr>
      </w:pPr>
    </w:p>
    <w:p>
      <w:pPr>
        <w:rPr>
          <w:rFonts w:hint="eastAsia"/>
          <w:b/>
          <w:sz w:val="28"/>
          <w:szCs w:val="28"/>
        </w:rPr>
      </w:pPr>
    </w:p>
    <w:p>
      <w:pPr>
        <w:rPr>
          <w:rFonts w:hint="eastAsia" w:ascii="黑体" w:hAnsi="黑体" w:eastAsia="黑体"/>
          <w:b/>
          <w:sz w:val="28"/>
          <w:szCs w:val="28"/>
        </w:rPr>
      </w:pPr>
      <w:r>
        <w:rPr>
          <w:rFonts w:hint="eastAsia" w:ascii="黑体" w:hAnsi="黑体" w:eastAsia="黑体"/>
          <w:b/>
          <w:sz w:val="28"/>
          <w:szCs w:val="28"/>
        </w:rPr>
        <w:t>三、收到和处理政府信息公开申请情况</w:t>
      </w:r>
    </w:p>
    <w:tbl>
      <w:tblPr>
        <w:tblStyle w:val="4"/>
        <w:tblW w:w="9781" w:type="dxa"/>
        <w:tblInd w:w="-5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"/>
        <w:gridCol w:w="1560"/>
        <w:gridCol w:w="2693"/>
        <w:gridCol w:w="567"/>
        <w:gridCol w:w="709"/>
        <w:gridCol w:w="708"/>
        <w:gridCol w:w="709"/>
        <w:gridCol w:w="709"/>
        <w:gridCol w:w="709"/>
        <w:gridCol w:w="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4820" w:type="dxa"/>
            <w:gridSpan w:val="3"/>
            <w:vMerge w:val="restart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（本列数据的勾稽关系为：第一项加第二项之和，等于第三项加第四项之和）</w:t>
            </w:r>
          </w:p>
        </w:tc>
        <w:tc>
          <w:tcPr>
            <w:tcW w:w="4961" w:type="dxa"/>
            <w:gridSpan w:val="7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4820" w:type="dxa"/>
            <w:gridSpan w:val="3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567" w:type="dxa"/>
            <w:vMerge w:val="restart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Cs w:val="21"/>
              </w:rPr>
              <w:t>自然人</w:t>
            </w:r>
          </w:p>
        </w:tc>
        <w:tc>
          <w:tcPr>
            <w:tcW w:w="3544" w:type="dxa"/>
            <w:gridSpan w:val="5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法人或其他组织</w:t>
            </w:r>
          </w:p>
        </w:tc>
        <w:tc>
          <w:tcPr>
            <w:tcW w:w="850" w:type="dxa"/>
            <w:vMerge w:val="restart"/>
            <w:vAlign w:val="center"/>
          </w:tcPr>
          <w:p>
            <w:pPr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总计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7" w:hRule="atLeast"/>
        </w:trPr>
        <w:tc>
          <w:tcPr>
            <w:tcW w:w="4820" w:type="dxa"/>
            <w:gridSpan w:val="3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567" w:type="dxa"/>
            <w:vMerge w:val="continue"/>
          </w:tcPr>
          <w:p>
            <w:pPr>
              <w:rPr>
                <w:rFonts w:hint="eastAsia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>
            <w:pPr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商业企业</w:t>
            </w:r>
          </w:p>
        </w:tc>
        <w:tc>
          <w:tcPr>
            <w:tcW w:w="708" w:type="dxa"/>
            <w:vAlign w:val="center"/>
          </w:tcPr>
          <w:p>
            <w:pPr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科研机构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社会公益组织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法律服务机构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其他</w:t>
            </w:r>
          </w:p>
        </w:tc>
        <w:tc>
          <w:tcPr>
            <w:tcW w:w="850" w:type="dxa"/>
            <w:vMerge w:val="continue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4820" w:type="dxa"/>
            <w:gridSpan w:val="3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一、本年新收政府信息公开申请数量</w:t>
            </w:r>
          </w:p>
        </w:tc>
        <w:tc>
          <w:tcPr>
            <w:tcW w:w="567" w:type="dxa"/>
          </w:tcPr>
          <w:p>
            <w:pPr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vAlign w:val="center"/>
          </w:tcPr>
          <w:p>
            <w:pPr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0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0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0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0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4820" w:type="dxa"/>
            <w:gridSpan w:val="3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二、上年结转政府信息公开申请数量</w:t>
            </w:r>
          </w:p>
        </w:tc>
        <w:tc>
          <w:tcPr>
            <w:tcW w:w="567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567" w:type="dxa"/>
            <w:vMerge w:val="restart"/>
            <w:vAlign w:val="center"/>
          </w:tcPr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</w:rPr>
              <w:t>三、本年度办理结果</w:t>
            </w:r>
          </w:p>
        </w:tc>
        <w:tc>
          <w:tcPr>
            <w:tcW w:w="4253" w:type="dxa"/>
            <w:gridSpan w:val="2"/>
          </w:tcPr>
          <w:p>
            <w:pPr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（一）予以公开</w:t>
            </w:r>
          </w:p>
        </w:tc>
        <w:tc>
          <w:tcPr>
            <w:tcW w:w="567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4253" w:type="dxa"/>
            <w:gridSpan w:val="2"/>
          </w:tcPr>
          <w:p>
            <w:pPr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W w:w="567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567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1560" w:type="dxa"/>
            <w:vMerge w:val="restart"/>
            <w:vAlign w:val="center"/>
          </w:tcPr>
          <w:p>
            <w:pPr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（三）不予公开</w:t>
            </w:r>
          </w:p>
        </w:tc>
        <w:tc>
          <w:tcPr>
            <w:tcW w:w="2693" w:type="dxa"/>
          </w:tcPr>
          <w:p>
            <w:pPr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asciiTheme="minorEastAsia" w:hAnsiTheme="minorEastAsia"/>
                <w:sz w:val="18"/>
                <w:szCs w:val="18"/>
              </w:rPr>
              <w:t>1</w:t>
            </w:r>
            <w:r>
              <w:rPr>
                <w:rFonts w:hint="eastAsia" w:asciiTheme="minorEastAsia" w:hAnsiTheme="minorEastAsia"/>
                <w:sz w:val="18"/>
                <w:szCs w:val="18"/>
              </w:rPr>
              <w:t>．属于国家秘密</w:t>
            </w:r>
          </w:p>
        </w:tc>
        <w:tc>
          <w:tcPr>
            <w:tcW w:w="567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</w:trPr>
        <w:tc>
          <w:tcPr>
            <w:tcW w:w="567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2693" w:type="dxa"/>
          </w:tcPr>
          <w:p>
            <w:pPr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2．其他法律行政法规禁止公开</w:t>
            </w:r>
          </w:p>
        </w:tc>
        <w:tc>
          <w:tcPr>
            <w:tcW w:w="567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567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rPr>
                <w:rFonts w:hint="eastAsia"/>
                <w:sz w:val="18"/>
                <w:szCs w:val="18"/>
              </w:rPr>
            </w:pPr>
          </w:p>
        </w:tc>
        <w:tc>
          <w:tcPr>
            <w:tcW w:w="2693" w:type="dxa"/>
          </w:tcPr>
          <w:p>
            <w:pPr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3．危及“三安全一稳定”</w:t>
            </w:r>
          </w:p>
        </w:tc>
        <w:tc>
          <w:tcPr>
            <w:tcW w:w="567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67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rPr>
                <w:rFonts w:hint="eastAsia"/>
                <w:sz w:val="18"/>
                <w:szCs w:val="18"/>
              </w:rPr>
            </w:pPr>
          </w:p>
        </w:tc>
        <w:tc>
          <w:tcPr>
            <w:tcW w:w="2693" w:type="dxa"/>
          </w:tcPr>
          <w:p>
            <w:pPr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4．保护第三方合法权益</w:t>
            </w:r>
          </w:p>
        </w:tc>
        <w:tc>
          <w:tcPr>
            <w:tcW w:w="567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567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rPr>
                <w:rFonts w:hint="eastAsia"/>
                <w:sz w:val="18"/>
                <w:szCs w:val="18"/>
              </w:rPr>
            </w:pPr>
          </w:p>
        </w:tc>
        <w:tc>
          <w:tcPr>
            <w:tcW w:w="2693" w:type="dxa"/>
          </w:tcPr>
          <w:p>
            <w:pPr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5．属于三类内部事务信息</w:t>
            </w:r>
          </w:p>
        </w:tc>
        <w:tc>
          <w:tcPr>
            <w:tcW w:w="567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567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rPr>
                <w:rFonts w:hint="eastAsia"/>
                <w:sz w:val="18"/>
                <w:szCs w:val="18"/>
              </w:rPr>
            </w:pPr>
          </w:p>
        </w:tc>
        <w:tc>
          <w:tcPr>
            <w:tcW w:w="2693" w:type="dxa"/>
          </w:tcPr>
          <w:p>
            <w:pPr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6．属于四类过程性信息</w:t>
            </w:r>
          </w:p>
        </w:tc>
        <w:tc>
          <w:tcPr>
            <w:tcW w:w="567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567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rPr>
                <w:rFonts w:hint="eastAsia"/>
                <w:sz w:val="18"/>
                <w:szCs w:val="18"/>
              </w:rPr>
            </w:pPr>
          </w:p>
        </w:tc>
        <w:tc>
          <w:tcPr>
            <w:tcW w:w="2693" w:type="dxa"/>
          </w:tcPr>
          <w:p>
            <w:pPr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7．属于行政执法案卷</w:t>
            </w:r>
          </w:p>
        </w:tc>
        <w:tc>
          <w:tcPr>
            <w:tcW w:w="567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567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rPr>
                <w:rFonts w:hint="eastAsia"/>
                <w:sz w:val="18"/>
                <w:szCs w:val="18"/>
              </w:rPr>
            </w:pPr>
          </w:p>
        </w:tc>
        <w:tc>
          <w:tcPr>
            <w:tcW w:w="2693" w:type="dxa"/>
          </w:tcPr>
          <w:p>
            <w:pPr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8．属于行政查询事项</w:t>
            </w:r>
          </w:p>
        </w:tc>
        <w:tc>
          <w:tcPr>
            <w:tcW w:w="567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</w:trPr>
        <w:tc>
          <w:tcPr>
            <w:tcW w:w="567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1560" w:type="dxa"/>
            <w:vMerge w:val="restart"/>
            <w:vAlign w:val="center"/>
          </w:tcPr>
          <w:p>
            <w:pPr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（四）无法提供</w:t>
            </w:r>
          </w:p>
        </w:tc>
        <w:tc>
          <w:tcPr>
            <w:tcW w:w="2693" w:type="dxa"/>
          </w:tcPr>
          <w:p>
            <w:pPr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1．本机关不掌握相关政府信息</w:t>
            </w:r>
          </w:p>
        </w:tc>
        <w:tc>
          <w:tcPr>
            <w:tcW w:w="567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567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rPr>
                <w:rFonts w:hint="eastAsia"/>
                <w:sz w:val="18"/>
                <w:szCs w:val="18"/>
              </w:rPr>
            </w:pPr>
          </w:p>
        </w:tc>
        <w:tc>
          <w:tcPr>
            <w:tcW w:w="2693" w:type="dxa"/>
          </w:tcPr>
          <w:p>
            <w:pPr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2．没有现成信息需要另行制作</w:t>
            </w:r>
          </w:p>
        </w:tc>
        <w:tc>
          <w:tcPr>
            <w:tcW w:w="567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rPr>
                <w:rFonts w:hint="eastAsia"/>
                <w:sz w:val="18"/>
                <w:szCs w:val="18"/>
              </w:rPr>
            </w:pPr>
          </w:p>
        </w:tc>
        <w:tc>
          <w:tcPr>
            <w:tcW w:w="2693" w:type="dxa"/>
          </w:tcPr>
          <w:p>
            <w:pPr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3．补正后申请内容仍不明确</w:t>
            </w:r>
          </w:p>
        </w:tc>
        <w:tc>
          <w:tcPr>
            <w:tcW w:w="567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567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1560" w:type="dxa"/>
            <w:vMerge w:val="restart"/>
            <w:vAlign w:val="center"/>
          </w:tcPr>
          <w:p>
            <w:pPr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（五）</w:t>
            </w:r>
            <w:r>
              <w:rPr>
                <w:rFonts w:hint="eastAsia" w:asciiTheme="minorEastAsia" w:hAnsiTheme="minorEastAsia"/>
                <w:sz w:val="18"/>
                <w:szCs w:val="18"/>
              </w:rPr>
              <w:t>不予处理</w:t>
            </w:r>
          </w:p>
        </w:tc>
        <w:tc>
          <w:tcPr>
            <w:tcW w:w="2693" w:type="dxa"/>
          </w:tcPr>
          <w:p>
            <w:pPr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1．信访举报投诉类申请</w:t>
            </w:r>
          </w:p>
        </w:tc>
        <w:tc>
          <w:tcPr>
            <w:tcW w:w="567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1560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2693" w:type="dxa"/>
          </w:tcPr>
          <w:p>
            <w:pPr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2．重复申请</w:t>
            </w:r>
          </w:p>
        </w:tc>
        <w:tc>
          <w:tcPr>
            <w:tcW w:w="567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567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1560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2693" w:type="dxa"/>
          </w:tcPr>
          <w:p>
            <w:pPr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asciiTheme="minorEastAsia" w:hAnsiTheme="minorEastAsia"/>
                <w:sz w:val="18"/>
                <w:szCs w:val="18"/>
              </w:rPr>
              <w:t>3</w:t>
            </w:r>
            <w:r>
              <w:rPr>
                <w:rFonts w:hint="eastAsia" w:asciiTheme="minorEastAsia" w:hAnsiTheme="minorEastAsia"/>
                <w:sz w:val="18"/>
                <w:szCs w:val="18"/>
              </w:rPr>
              <w:t>．要求提供公开出版物</w:t>
            </w:r>
          </w:p>
        </w:tc>
        <w:tc>
          <w:tcPr>
            <w:tcW w:w="567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567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1560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2693" w:type="dxa"/>
          </w:tcPr>
          <w:p>
            <w:pPr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4．无正当理由大量反复申请</w:t>
            </w:r>
          </w:p>
        </w:tc>
        <w:tc>
          <w:tcPr>
            <w:tcW w:w="567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1560" w:type="dxa"/>
            <w:vMerge w:val="continue"/>
          </w:tcPr>
          <w:p>
            <w:pPr>
              <w:rPr>
                <w:rFonts w:hint="eastAsia"/>
              </w:rPr>
            </w:pPr>
          </w:p>
        </w:tc>
        <w:tc>
          <w:tcPr>
            <w:tcW w:w="2693" w:type="dxa"/>
          </w:tcPr>
          <w:p>
            <w:pPr>
              <w:ind w:left="180" w:hanging="180" w:hangingChars="100"/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5．要求行政机关确认或重新出具已获取信息</w:t>
            </w:r>
          </w:p>
        </w:tc>
        <w:tc>
          <w:tcPr>
            <w:tcW w:w="567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567" w:type="dxa"/>
          </w:tcPr>
          <w:p>
            <w:pPr>
              <w:rPr>
                <w:rFonts w:hint="eastAsia"/>
              </w:rPr>
            </w:pPr>
          </w:p>
        </w:tc>
        <w:tc>
          <w:tcPr>
            <w:tcW w:w="4253" w:type="dxa"/>
            <w:gridSpan w:val="2"/>
            <w:vAlign w:val="center"/>
          </w:tcPr>
          <w:p>
            <w:pPr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（六）其他处理</w:t>
            </w:r>
          </w:p>
        </w:tc>
        <w:tc>
          <w:tcPr>
            <w:tcW w:w="567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567" w:type="dxa"/>
          </w:tcPr>
          <w:p>
            <w:pPr>
              <w:rPr>
                <w:rFonts w:hint="eastAsia"/>
              </w:rPr>
            </w:pPr>
          </w:p>
        </w:tc>
        <w:tc>
          <w:tcPr>
            <w:tcW w:w="4253" w:type="dxa"/>
            <w:gridSpan w:val="2"/>
            <w:vAlign w:val="center"/>
          </w:tcPr>
          <w:p>
            <w:pPr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（七）总计</w:t>
            </w:r>
          </w:p>
        </w:tc>
        <w:tc>
          <w:tcPr>
            <w:tcW w:w="567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20" w:type="dxa"/>
            <w:gridSpan w:val="3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四、结转下年度继续办理</w:t>
            </w:r>
          </w:p>
        </w:tc>
        <w:tc>
          <w:tcPr>
            <w:tcW w:w="567" w:type="dxa"/>
          </w:tcPr>
          <w:p>
            <w:pPr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8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0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850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</w:tbl>
    <w:p/>
    <w:p>
      <w:pPr>
        <w:rPr>
          <w:rFonts w:hint="eastAsia"/>
        </w:rPr>
      </w:pPr>
    </w:p>
    <w:p/>
    <w:p>
      <w:pPr>
        <w:rPr>
          <w:rFonts w:ascii="黑体" w:hAnsi="黑体" w:eastAsia="黑体"/>
          <w:b/>
          <w:sz w:val="28"/>
          <w:szCs w:val="28"/>
        </w:rPr>
      </w:pPr>
      <w:r>
        <w:rPr>
          <w:rFonts w:hint="eastAsia" w:ascii="黑体" w:hAnsi="黑体" w:eastAsia="黑体"/>
          <w:b/>
          <w:sz w:val="28"/>
          <w:szCs w:val="28"/>
        </w:rPr>
        <w:t>四</w:t>
      </w:r>
      <w:r>
        <w:rPr>
          <w:rFonts w:hint="eastAsia" w:ascii="黑体" w:hAnsi="黑体" w:eastAsia="黑体"/>
          <w:b/>
          <w:sz w:val="28"/>
          <w:szCs w:val="28"/>
          <w:lang w:eastAsia="zh-CN"/>
        </w:rPr>
        <w:t>、</w:t>
      </w:r>
      <w:r>
        <w:rPr>
          <w:rFonts w:hint="eastAsia" w:ascii="黑体" w:hAnsi="黑体" w:eastAsia="黑体"/>
          <w:b/>
          <w:sz w:val="28"/>
          <w:szCs w:val="28"/>
        </w:rPr>
        <w:t>政府信息公开行政复议、行政诉讼情况</w:t>
      </w:r>
    </w:p>
    <w:tbl>
      <w:tblPr>
        <w:tblStyle w:val="4"/>
        <w:tblW w:w="10206" w:type="dxa"/>
        <w:tblInd w:w="-5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708"/>
        <w:gridCol w:w="709"/>
        <w:gridCol w:w="682"/>
        <w:gridCol w:w="594"/>
        <w:gridCol w:w="709"/>
        <w:gridCol w:w="709"/>
        <w:gridCol w:w="709"/>
        <w:gridCol w:w="708"/>
        <w:gridCol w:w="567"/>
        <w:gridCol w:w="851"/>
        <w:gridCol w:w="650"/>
        <w:gridCol w:w="767"/>
        <w:gridCol w:w="709"/>
        <w:gridCol w:w="4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3402" w:type="dxa"/>
            <w:gridSpan w:val="5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行政复议</w:t>
            </w:r>
          </w:p>
        </w:tc>
        <w:tc>
          <w:tcPr>
            <w:tcW w:w="6804" w:type="dxa"/>
            <w:gridSpan w:val="1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行政诉讼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709" w:type="dxa"/>
            <w:vMerge w:val="restart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结果维持</w:t>
            </w:r>
          </w:p>
        </w:tc>
        <w:tc>
          <w:tcPr>
            <w:tcW w:w="708" w:type="dxa"/>
            <w:vMerge w:val="restart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结果纠正</w:t>
            </w:r>
          </w:p>
        </w:tc>
        <w:tc>
          <w:tcPr>
            <w:tcW w:w="709" w:type="dxa"/>
            <w:vMerge w:val="restart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其他结果</w:t>
            </w:r>
          </w:p>
        </w:tc>
        <w:tc>
          <w:tcPr>
            <w:tcW w:w="682" w:type="dxa"/>
            <w:vMerge w:val="restart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尚未审结</w:t>
            </w:r>
          </w:p>
        </w:tc>
        <w:tc>
          <w:tcPr>
            <w:tcW w:w="594" w:type="dxa"/>
            <w:vMerge w:val="restart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总计</w:t>
            </w:r>
          </w:p>
        </w:tc>
        <w:tc>
          <w:tcPr>
            <w:tcW w:w="3402" w:type="dxa"/>
            <w:gridSpan w:val="5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未经复议直接起诉</w:t>
            </w:r>
          </w:p>
        </w:tc>
        <w:tc>
          <w:tcPr>
            <w:tcW w:w="3402" w:type="dxa"/>
            <w:gridSpan w:val="5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复议后起诉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9" w:type="dxa"/>
            <w:vMerge w:val="continue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708" w:type="dxa"/>
            <w:vMerge w:val="continue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709" w:type="dxa"/>
            <w:vMerge w:val="continue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682" w:type="dxa"/>
            <w:vMerge w:val="continue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594" w:type="dxa"/>
            <w:vMerge w:val="continue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结果维持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结果纠正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其他结果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尚未审结</w:t>
            </w:r>
          </w:p>
        </w:tc>
        <w:tc>
          <w:tcPr>
            <w:tcW w:w="567" w:type="dxa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总计</w:t>
            </w: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结果维持</w:t>
            </w:r>
          </w:p>
        </w:tc>
        <w:tc>
          <w:tcPr>
            <w:tcW w:w="650" w:type="dxa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结果纠正</w:t>
            </w:r>
          </w:p>
        </w:tc>
        <w:tc>
          <w:tcPr>
            <w:tcW w:w="767" w:type="dxa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其他结果</w:t>
            </w: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尚未审结</w:t>
            </w: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总计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709" w:type="dxa"/>
            <w:vAlign w:val="center"/>
          </w:tcPr>
          <w:p>
            <w:pPr>
              <w:rPr>
                <w:rFonts w:hint="eastAsia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8" w:type="dxa"/>
            <w:vAlign w:val="center"/>
          </w:tcPr>
          <w:p>
            <w:pPr>
              <w:rPr>
                <w:rFonts w:hint="eastAsia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hint="eastAsia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2" w:type="dxa"/>
            <w:vAlign w:val="center"/>
          </w:tcPr>
          <w:p>
            <w:pPr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0</w:t>
            </w:r>
          </w:p>
        </w:tc>
        <w:tc>
          <w:tcPr>
            <w:tcW w:w="594" w:type="dxa"/>
            <w:vAlign w:val="center"/>
          </w:tcPr>
          <w:p>
            <w:pPr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0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0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0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vAlign w:val="center"/>
          </w:tcPr>
          <w:p>
            <w:pPr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vAlign w:val="center"/>
          </w:tcPr>
          <w:p>
            <w:pPr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vAlign w:val="center"/>
          </w:tcPr>
          <w:p>
            <w:pPr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0</w:t>
            </w:r>
          </w:p>
        </w:tc>
        <w:tc>
          <w:tcPr>
            <w:tcW w:w="650" w:type="dxa"/>
            <w:vAlign w:val="center"/>
          </w:tcPr>
          <w:p>
            <w:pPr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0</w:t>
            </w:r>
          </w:p>
        </w:tc>
        <w:tc>
          <w:tcPr>
            <w:tcW w:w="767" w:type="dxa"/>
            <w:vAlign w:val="center"/>
          </w:tcPr>
          <w:p>
            <w:pPr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0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0</w:t>
            </w:r>
          </w:p>
        </w:tc>
        <w:tc>
          <w:tcPr>
            <w:tcW w:w="425" w:type="dxa"/>
            <w:vAlign w:val="center"/>
          </w:tcPr>
          <w:p>
            <w:pPr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0</w:t>
            </w:r>
          </w:p>
        </w:tc>
      </w:tr>
    </w:tbl>
    <w:p>
      <w:pPr>
        <w:numPr>
          <w:numId w:val="0"/>
        </w:numPr>
        <w:rPr>
          <w:rFonts w:hint="eastAsia" w:ascii="仿宋" w:hAnsi="仿宋" w:eastAsia="仿宋" w:cs="仿宋"/>
          <w:b w:val="0"/>
          <w:color w:val="3D3D3D"/>
          <w:sz w:val="30"/>
          <w:szCs w:val="30"/>
          <w:u w:val="none"/>
          <w:shd w:val="clear" w:fill="FFFFFF"/>
          <w:lang w:val="en-US" w:eastAsia="zh-CN"/>
        </w:rPr>
      </w:pPr>
      <w:r>
        <w:rPr>
          <w:rFonts w:hint="eastAsia" w:ascii="黑体" w:hAnsi="黑体" w:eastAsia="黑体"/>
          <w:b/>
          <w:sz w:val="28"/>
          <w:szCs w:val="28"/>
          <w:lang w:val="en-US" w:eastAsia="zh-CN"/>
        </w:rPr>
        <w:t>五、</w:t>
      </w:r>
      <w:r>
        <w:rPr>
          <w:rFonts w:hint="eastAsia" w:ascii="黑体" w:hAnsi="黑体" w:eastAsia="黑体"/>
          <w:b/>
          <w:sz w:val="28"/>
          <w:szCs w:val="28"/>
        </w:rPr>
        <w:t>存在的主要问题及改进情况</w:t>
      </w:r>
    </w:p>
    <w:p>
      <w:pPr>
        <w:numPr>
          <w:numId w:val="0"/>
        </w:numP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  <w:shd w:val="clear" w:fill="FFFFFF"/>
          <w:lang w:val="en-US" w:eastAsia="zh-CN"/>
        </w:rPr>
        <w:t>（一）、存在的问题</w:t>
      </w:r>
    </w:p>
    <w:p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shd w:val="clear" w:fill="FFFFFF"/>
        <w:spacing w:before="0" w:beforeAutospacing="0" w:after="0" w:afterAutospacing="0" w:line="525" w:lineRule="atLeast"/>
        <w:ind w:leftChars="200" w:right="0" w:rightChars="0" w:firstLine="640" w:firstLineChars="200"/>
        <w:jc w:val="left"/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  <w:shd w:val="clear" w:fill="FFFFFF"/>
        </w:rPr>
      </w:pPr>
      <w: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  <w:shd w:val="clear" w:fill="FFFFFF"/>
          <w:lang w:val="en-US" w:eastAsia="zh-CN"/>
        </w:rPr>
        <w:t>1.</w:t>
      </w:r>
      <w: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  <w:shd w:val="clear" w:fill="FFFFFF"/>
        </w:rPr>
        <w:t>政府信息公开意识有待加强；</w:t>
      </w:r>
    </w:p>
    <w:p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shd w:val="clear" w:fill="FFFFFF"/>
        <w:spacing w:before="0" w:beforeAutospacing="0" w:after="0" w:afterAutospacing="0" w:line="525" w:lineRule="atLeast"/>
        <w:ind w:leftChars="200" w:right="0" w:rightChars="0" w:firstLine="640" w:firstLineChars="200"/>
        <w:jc w:val="left"/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  <w:shd w:val="clear" w:fill="FFFFFF"/>
        </w:rPr>
      </w:pPr>
      <w: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  <w:shd w:val="clear" w:fill="FFFFFF"/>
          <w:lang w:val="en-US" w:eastAsia="zh-CN"/>
        </w:rPr>
        <w:t>2.</w:t>
      </w:r>
      <w: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  <w:shd w:val="clear" w:fill="FFFFFF"/>
        </w:rPr>
        <w:t>信息公开的全面性、及时性有待提升；</w:t>
      </w:r>
    </w:p>
    <w:p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shd w:val="clear" w:fill="FFFFFF"/>
        <w:spacing w:before="0" w:beforeAutospacing="0" w:after="0" w:afterAutospacing="0" w:line="525" w:lineRule="atLeast"/>
        <w:ind w:leftChars="200" w:right="0" w:rightChars="0"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  <w:shd w:val="clear" w:fill="FFFFFF"/>
          <w:lang w:val="en-US" w:eastAsia="zh-CN"/>
        </w:rPr>
        <w:t>3.</w:t>
      </w:r>
      <w: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  <w:shd w:val="clear" w:fill="FFFFFF"/>
        </w:rPr>
        <w:t>政府信息公开制度建设方面还不够全面。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525" w:lineRule="atLeast"/>
        <w:jc w:val="left"/>
        <w:rPr>
          <w:rFonts w:hint="eastAsia" w:ascii="仿宋" w:hAnsi="仿宋" w:eastAsia="仿宋" w:cs="仿宋"/>
          <w:b w:val="0"/>
          <w:bCs/>
          <w:sz w:val="32"/>
          <w:szCs w:val="32"/>
        </w:rPr>
      </w:pPr>
      <w:r>
        <w:rPr>
          <w:rStyle w:val="6"/>
          <w:rFonts w:hint="eastAsia" w:ascii="仿宋" w:hAnsi="仿宋" w:eastAsia="仿宋" w:cs="仿宋"/>
          <w:b w:val="0"/>
          <w:bCs/>
          <w:color w:val="333333"/>
          <w:sz w:val="32"/>
          <w:szCs w:val="32"/>
          <w:u w:val="none"/>
          <w:shd w:val="clear" w:fill="FFFFFF"/>
        </w:rPr>
        <w:t>（二）</w:t>
      </w:r>
      <w:r>
        <w:rPr>
          <w:rStyle w:val="6"/>
          <w:rFonts w:hint="eastAsia" w:ascii="仿宋" w:hAnsi="仿宋" w:eastAsia="仿宋" w:cs="仿宋"/>
          <w:b w:val="0"/>
          <w:bCs/>
          <w:color w:val="333333"/>
          <w:sz w:val="32"/>
          <w:szCs w:val="32"/>
          <w:u w:val="none"/>
          <w:shd w:val="clear" w:fill="FFFFFF"/>
          <w:lang w:eastAsia="zh-CN"/>
        </w:rPr>
        <w:t>、</w:t>
      </w:r>
      <w:r>
        <w:rPr>
          <w:rStyle w:val="6"/>
          <w:rFonts w:hint="eastAsia" w:ascii="仿宋" w:hAnsi="仿宋" w:eastAsia="仿宋" w:cs="仿宋"/>
          <w:b w:val="0"/>
          <w:bCs/>
          <w:color w:val="333333"/>
          <w:sz w:val="32"/>
          <w:szCs w:val="32"/>
          <w:u w:val="none"/>
          <w:shd w:val="clear" w:fill="FFFFFF"/>
        </w:rPr>
        <w:t>改进措施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525" w:lineRule="atLeast"/>
        <w:ind w:left="0" w:firstLine="645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  <w:shd w:val="clear" w:fill="FFFFFF"/>
        </w:rPr>
        <w:t>1.进一步加强对政务公开工作的指导和监督。健全有关检查制度、责任追究制度、反馈制度，加大对政务信息的公开力度，促进政务信息公开工作不断落到实处。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525" w:lineRule="atLeast"/>
        <w:ind w:left="0" w:firstLine="645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  <w:shd w:val="clear" w:fill="FFFFFF"/>
        </w:rPr>
        <w:t>2.进一步深化政府信息公开内容。以群众需求为导向，对涉及人民群众关心的重大问题，重大决策及时公开，提高群众满意度。</w:t>
      </w:r>
    </w:p>
    <w:p>
      <w:pPr>
        <w:pStyle w:val="2"/>
        <w:keepNext w:val="0"/>
        <w:keepLines w:val="0"/>
        <w:widowControl/>
        <w:suppressLineNumbers w:val="0"/>
        <w:spacing w:line="525" w:lineRule="atLeast"/>
        <w:ind w:left="0" w:firstLine="645"/>
        <w:jc w:val="left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color w:val="3D3D3D"/>
          <w:sz w:val="32"/>
          <w:szCs w:val="32"/>
          <w:u w:val="none"/>
          <w:shd w:val="clear" w:fill="FFFFFF"/>
        </w:rPr>
        <w:t>3.加强培训，提升政务公开专业队伍素质。重点加强政府信息公开条例的学习，通过自学和加强与上级业务指导部门交流，提升政府信息公开工作人员能力。</w:t>
      </w:r>
    </w:p>
    <w:p>
      <w:pPr>
        <w:rPr>
          <w:rFonts w:ascii="黑体" w:hAnsi="黑体" w:eastAsia="黑体"/>
          <w:b/>
          <w:sz w:val="28"/>
          <w:szCs w:val="28"/>
        </w:rPr>
      </w:pPr>
      <w:r>
        <w:rPr>
          <w:rFonts w:hint="eastAsia" w:ascii="黑体" w:hAnsi="黑体" w:eastAsia="黑体"/>
          <w:b/>
          <w:sz w:val="28"/>
          <w:szCs w:val="28"/>
        </w:rPr>
        <w:t>六、其他需要报告的事项</w:t>
      </w:r>
    </w:p>
    <w:p>
      <w:pPr>
        <w:rPr>
          <w:rFonts w:hint="eastAsia" w:eastAsiaTheme="minor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无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新宋体">
    <w:panose1 w:val="02010609030101010101"/>
    <w:charset w:val="86"/>
    <w:family w:val="auto"/>
    <w:pitch w:val="default"/>
    <w:sig w:usb0="00000283" w:usb1="288F0000" w:usb2="0000000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dobe Gothic Std B">
    <w:panose1 w:val="020B0800000000000000"/>
    <w:charset w:val="80"/>
    <w:family w:val="auto"/>
    <w:pitch w:val="default"/>
    <w:sig w:usb0="00000001" w:usb1="21D72C10" w:usb2="00000010" w:usb3="00000000" w:csb0="602A0005" w:csb1="00000000"/>
  </w:font>
  <w:font w:name="Kozuka Gothic Pr6N R">
    <w:panose1 w:val="020B0400000000000000"/>
    <w:charset w:val="80"/>
    <w:family w:val="auto"/>
    <w:pitch w:val="default"/>
    <w:sig w:usb0="000002D7" w:usb1="2AC71C11" w:usb2="00000012" w:usb3="00000000" w:csb0="2002009F" w:csb1="00000000"/>
  </w:font>
  <w:font w:name="Kozuka Gothic Pr6N M">
    <w:panose1 w:val="020B0700000000000000"/>
    <w:charset w:val="80"/>
    <w:family w:val="auto"/>
    <w:pitch w:val="default"/>
    <w:sig w:usb0="000002D7" w:usb1="2AC71C11" w:usb2="00000012" w:usb3="00000000" w:csb0="2002009F" w:csb1="00000000"/>
  </w:font>
  <w:font w:name="Kozuka Gothic Pr6N H">
    <w:panose1 w:val="020B0800000000000000"/>
    <w:charset w:val="80"/>
    <w:family w:val="auto"/>
    <w:pitch w:val="default"/>
    <w:sig w:usb0="000002D7" w:usb1="2AC71C11" w:usb2="00000012" w:usb3="00000000" w:csb0="2002009F" w:csb1="00000000"/>
  </w:font>
  <w:font w:name="Kozuka Mincho Pr6N B">
    <w:panose1 w:val="02020800000000000000"/>
    <w:charset w:val="80"/>
    <w:family w:val="auto"/>
    <w:pitch w:val="default"/>
    <w:sig w:usb0="000002D7" w:usb1="2AC71C11" w:usb2="00000012" w:usb3="00000000" w:csb0="2002009F" w:csb1="00000000"/>
  </w:font>
  <w:font w:name="Kozuka Mincho Pr6N H">
    <w:panose1 w:val="02020900000000000000"/>
    <w:charset w:val="80"/>
    <w:family w:val="auto"/>
    <w:pitch w:val="default"/>
    <w:sig w:usb0="000002D7" w:usb1="2AC71C11" w:usb2="00000012" w:usb3="00000000" w:csb0="2002009F" w:csb1="00000000"/>
  </w:font>
  <w:font w:name="Kozuka Gothic Pro B">
    <w:panose1 w:val="020B0800000000000000"/>
    <w:charset w:val="80"/>
    <w:family w:val="auto"/>
    <w:pitch w:val="default"/>
    <w:sig w:usb0="00000083" w:usb1="2AC71C11" w:usb2="00000012" w:usb3="00000000" w:csb0="20020005" w:csb1="00000000"/>
  </w:font>
  <w:font w:name="Adobe 黑体 Std R">
    <w:panose1 w:val="020B0400000000000000"/>
    <w:charset w:val="86"/>
    <w:family w:val="auto"/>
    <w:pitch w:val="default"/>
    <w:sig w:usb0="00000001" w:usb1="0A0F1810" w:usb2="00000016" w:usb3="00000000" w:csb0="00060007" w:csb1="00000000"/>
  </w:font>
  <w:font w:name="Kozuka Gothic Pro L">
    <w:panose1 w:val="020B0200000000000000"/>
    <w:charset w:val="80"/>
    <w:family w:val="auto"/>
    <w:pitch w:val="default"/>
    <w:sig w:usb0="00000083" w:usb1="2AC71C11" w:usb2="00000012" w:usb3="00000000" w:csb0="20020005" w:csb1="00000000"/>
  </w:font>
  <w:font w:name="Kozuka Mincho Pro R">
    <w:panose1 w:val="02020400000000000000"/>
    <w:charset w:val="80"/>
    <w:family w:val="auto"/>
    <w:pitch w:val="default"/>
    <w:sig w:usb0="00000083" w:usb1="2AC71C11" w:usb2="00000012" w:usb3="00000000" w:csb0="20020005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ozuka Mincho Pr6N L">
    <w:panose1 w:val="02020300000000000000"/>
    <w:charset w:val="80"/>
    <w:family w:val="auto"/>
    <w:pitch w:val="default"/>
    <w:sig w:usb0="000002D7" w:usb1="2AC71C11" w:usb2="00000012" w:usb3="00000000" w:csb0="2002009F" w:csb1="00000000"/>
  </w:font>
  <w:font w:name="Adobe 仿宋 Std R">
    <w:panose1 w:val="02020400000000000000"/>
    <w:charset w:val="86"/>
    <w:family w:val="auto"/>
    <w:pitch w:val="default"/>
    <w:sig w:usb0="00000001" w:usb1="0A0F1810" w:usb2="00000016" w:usb3="00000000" w:csb0="00060007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D39188A"/>
    <w:multiLevelType w:val="singleLevel"/>
    <w:tmpl w:val="AD39188A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hideSpellingErrors/>
  <w:hideGrammaticalError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258"/>
    <w:rsid w:val="00024810"/>
    <w:rsid w:val="000414C6"/>
    <w:rsid w:val="00087FF0"/>
    <w:rsid w:val="00216261"/>
    <w:rsid w:val="00270C0E"/>
    <w:rsid w:val="002A188B"/>
    <w:rsid w:val="002B6F68"/>
    <w:rsid w:val="003D7EB2"/>
    <w:rsid w:val="00405DB6"/>
    <w:rsid w:val="00420F86"/>
    <w:rsid w:val="00481ED7"/>
    <w:rsid w:val="004D2882"/>
    <w:rsid w:val="00697EE4"/>
    <w:rsid w:val="00714451"/>
    <w:rsid w:val="00717EE3"/>
    <w:rsid w:val="00732D81"/>
    <w:rsid w:val="00733F31"/>
    <w:rsid w:val="00741A40"/>
    <w:rsid w:val="00746739"/>
    <w:rsid w:val="007611C0"/>
    <w:rsid w:val="007F43FC"/>
    <w:rsid w:val="00892DC4"/>
    <w:rsid w:val="00920A8C"/>
    <w:rsid w:val="00935E77"/>
    <w:rsid w:val="0096093C"/>
    <w:rsid w:val="00A93492"/>
    <w:rsid w:val="00AC222F"/>
    <w:rsid w:val="00AD49B5"/>
    <w:rsid w:val="00BF42A9"/>
    <w:rsid w:val="00C61A42"/>
    <w:rsid w:val="00C762CA"/>
    <w:rsid w:val="00CA24FE"/>
    <w:rsid w:val="00D201BD"/>
    <w:rsid w:val="00D33F3A"/>
    <w:rsid w:val="00D7673F"/>
    <w:rsid w:val="00E03F11"/>
    <w:rsid w:val="00E04258"/>
    <w:rsid w:val="00E82A61"/>
    <w:rsid w:val="00EA3993"/>
    <w:rsid w:val="00FA3378"/>
    <w:rsid w:val="00FE3091"/>
    <w:rsid w:val="2C8B4145"/>
    <w:rsid w:val="33605511"/>
    <w:rsid w:val="3EB825F8"/>
    <w:rsid w:val="4099767F"/>
    <w:rsid w:val="4DE93206"/>
    <w:rsid w:val="531578B1"/>
    <w:rsid w:val="64456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uiPriority w:val="99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5"/>
    <w:qFormat/>
    <w:uiPriority w:val="22"/>
    <w:rPr>
      <w:b/>
    </w:rPr>
  </w:style>
  <w:style w:type="character" w:styleId="7">
    <w:name w:val="FollowedHyperlink"/>
    <w:basedOn w:val="5"/>
    <w:semiHidden/>
    <w:unhideWhenUsed/>
    <w:qFormat/>
    <w:uiPriority w:val="99"/>
    <w:rPr>
      <w:color w:val="800080"/>
      <w:u w:val="none"/>
    </w:rPr>
  </w:style>
  <w:style w:type="character" w:styleId="8">
    <w:name w:val="Hyperlink"/>
    <w:basedOn w:val="5"/>
    <w:semiHidden/>
    <w:unhideWhenUsed/>
    <w:qFormat/>
    <w:uiPriority w:val="99"/>
    <w:rPr>
      <w:color w:val="0000FF"/>
      <w:u w:val="none"/>
    </w:rPr>
  </w:style>
  <w:style w:type="character" w:customStyle="1" w:styleId="9">
    <w:name w:val="hover16"/>
    <w:basedOn w:val="5"/>
    <w:qFormat/>
    <w:uiPriority w:val="0"/>
    <w:rPr>
      <w:color w:val="FFFFFF"/>
    </w:rPr>
  </w:style>
  <w:style w:type="character" w:customStyle="1" w:styleId="10">
    <w:name w:val="hover15"/>
    <w:basedOn w:val="5"/>
    <w:qFormat/>
    <w:uiPriority w:val="0"/>
    <w:rPr>
      <w:color w:val="FFFFFF"/>
    </w:rPr>
  </w:style>
  <w:style w:type="character" w:customStyle="1" w:styleId="11">
    <w:name w:val="hover11"/>
    <w:basedOn w:val="5"/>
    <w:uiPriority w:val="0"/>
    <w:rPr>
      <w:color w:val="FFFFFF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172</Words>
  <Characters>984</Characters>
  <Lines>8</Lines>
  <Paragraphs>2</Paragraphs>
  <TotalTime>73</TotalTime>
  <ScaleCrop>false</ScaleCrop>
  <LinksUpToDate>false</LinksUpToDate>
  <CharactersWithSpaces>1154</CharactersWithSpaces>
  <Application>WPS Office_11.1.0.9440_F1E327BC-269C-435d-A152-05C5408002CA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2020-01-06T10:32:00Z</dcterms:created>
  <dc:creator>China</dc:creator>
  <cp:lastModifiedBy>莫子</cp:lastModifiedBy>
  <dcterms:modified xsi:type="dcterms:W3CDTF">2020-02-12T08:37:03Z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