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2D9A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14:paraId="5C389A7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14:paraId="1230F4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14:paraId="015319F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宋体" w:hAnsi="宋体"/>
          <w:sz w:val="44"/>
        </w:rPr>
      </w:pPr>
      <w:r>
        <w:rPr>
          <w:rFonts w:hint="eastAsia" w:ascii="宋体" w:hAnsi="宋体"/>
          <w:b/>
          <w:bCs/>
          <w:sz w:val="44"/>
        </w:rPr>
        <w:t>行政处罚决定书</w:t>
      </w:r>
    </w:p>
    <w:p w14:paraId="06EA043C">
      <w:pPr>
        <w:keepNext w:val="0"/>
        <w:keepLines w:val="0"/>
        <w:pageBreakBefore w:val="0"/>
        <w:widowControl w:val="0"/>
        <w:kinsoku/>
        <w:wordWrap/>
        <w:overflowPunct/>
        <w:topLinePunct w:val="0"/>
        <w:autoSpaceDE/>
        <w:autoSpaceDN/>
        <w:bidi w:val="0"/>
        <w:adjustRightInd w:val="0"/>
        <w:snapToGrid w:val="0"/>
        <w:spacing w:line="580" w:lineRule="exact"/>
        <w:ind w:right="0"/>
        <w:jc w:val="right"/>
        <w:textAlignment w:val="auto"/>
        <w:rPr>
          <w:rFonts w:ascii="仿宋_GB2312" w:hAnsi="仿宋" w:eastAsia="仿宋_GB2312"/>
          <w:sz w:val="28"/>
          <w:szCs w:val="28"/>
        </w:rPr>
      </w:pPr>
      <w:r>
        <w:rPr>
          <w:rFonts w:hint="eastAsia" w:ascii="仿宋_GB2312" w:hAnsi="仿宋" w:eastAsia="仿宋_GB2312"/>
          <w:sz w:val="28"/>
          <w:szCs w:val="28"/>
        </w:rPr>
        <w:t xml:space="preserve">            淄高新管</w:t>
      </w:r>
      <w:r>
        <w:rPr>
          <w:rFonts w:hint="eastAsia" w:ascii="仿宋_GB2312" w:hAnsi="仿宋" w:eastAsia="仿宋_GB2312"/>
          <w:sz w:val="28"/>
          <w:szCs w:val="28"/>
          <w:lang w:eastAsia="zh-CN"/>
        </w:rPr>
        <w:t>综</w:t>
      </w:r>
      <w:r>
        <w:rPr>
          <w:rFonts w:hint="eastAsia" w:ascii="仿宋_GB2312" w:hAnsi="仿宋" w:eastAsia="仿宋_GB2312"/>
          <w:sz w:val="28"/>
          <w:szCs w:val="28"/>
        </w:rPr>
        <w:t>执</w:t>
      </w:r>
      <w:r>
        <w:rPr>
          <w:rFonts w:hint="eastAsia" w:ascii="仿宋_GB2312" w:hAnsi="仿宋" w:eastAsia="仿宋_GB2312"/>
          <w:sz w:val="28"/>
          <w:szCs w:val="28"/>
          <w:lang w:eastAsia="zh-CN"/>
        </w:rPr>
        <w:t>罚</w:t>
      </w:r>
      <w:r>
        <w:rPr>
          <w:rFonts w:hint="eastAsia" w:ascii="仿宋_GB2312" w:hAnsi="仿宋" w:eastAsia="仿宋_GB2312"/>
          <w:sz w:val="28"/>
          <w:szCs w:val="28"/>
        </w:rPr>
        <w:t>字</w:t>
      </w:r>
      <w:r>
        <w:rPr>
          <w:rFonts w:hint="eastAsia" w:ascii="仿宋" w:hAnsi="仿宋" w:eastAsia="仿宋"/>
          <w:sz w:val="28"/>
          <w:szCs w:val="28"/>
        </w:rPr>
        <w:t>〔</w:t>
      </w:r>
      <w:r>
        <w:rPr>
          <w:rFonts w:hint="eastAsia" w:ascii="仿宋" w:hAnsi="仿宋" w:eastAsia="仿宋"/>
          <w:sz w:val="28"/>
          <w:szCs w:val="28"/>
          <w:lang w:val="en-US" w:eastAsia="zh-CN"/>
        </w:rPr>
        <w:t>2024</w:t>
      </w:r>
      <w:r>
        <w:rPr>
          <w:rFonts w:hint="eastAsia" w:ascii="仿宋" w:hAnsi="仿宋" w:eastAsia="仿宋"/>
          <w:sz w:val="28"/>
          <w:szCs w:val="28"/>
        </w:rPr>
        <w:t>〕第</w:t>
      </w:r>
      <w:r>
        <w:rPr>
          <w:rFonts w:hint="eastAsia" w:ascii="仿宋_GB2312" w:hAnsi="仿宋" w:eastAsia="仿宋_GB2312"/>
          <w:sz w:val="28"/>
          <w:szCs w:val="28"/>
          <w:lang w:val="en-US" w:eastAsia="zh-CN"/>
        </w:rPr>
        <w:t>0012</w:t>
      </w:r>
      <w:r>
        <w:rPr>
          <w:rFonts w:hint="eastAsia" w:ascii="仿宋_GB2312" w:hAnsi="仿宋" w:eastAsia="仿宋_GB2312"/>
          <w:sz w:val="28"/>
          <w:szCs w:val="28"/>
        </w:rPr>
        <w:t>号</w:t>
      </w:r>
    </w:p>
    <w:p w14:paraId="14DBD01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21"/>
          <w:szCs w:val="21"/>
          <w:lang w:eastAsia="zh-CN"/>
        </w:rPr>
      </w:pPr>
      <w:r>
        <w:rPr>
          <w:rFonts w:hint="eastAsia" w:ascii="仿宋_GB2312" w:hAnsi="仿宋" w:eastAsia="仿宋_GB2312"/>
          <w:sz w:val="32"/>
          <w:u w:val="single"/>
          <w:lang w:val="en-US" w:eastAsia="zh-CN"/>
        </w:rPr>
        <w:t>淄博一诺房地产开发有限公司</w:t>
      </w:r>
      <w:r>
        <w:rPr>
          <w:rFonts w:hint="eastAsia" w:ascii="仿宋_GB2312" w:hAnsi="仿宋" w:eastAsia="仿宋_GB2312"/>
          <w:sz w:val="21"/>
          <w:szCs w:val="21"/>
          <w:u w:val="single"/>
          <w:lang w:val="en-US" w:eastAsia="zh-CN"/>
        </w:rPr>
        <w:t>（统一社会信用代码：91370300724977490G）</w:t>
      </w:r>
      <w:r>
        <w:rPr>
          <w:rFonts w:hint="eastAsia" w:ascii="仿宋_GB2312" w:eastAsia="仿宋_GB2312"/>
          <w:sz w:val="32"/>
          <w:szCs w:val="32"/>
          <w:u w:val="single"/>
        </w:rPr>
        <w:t>：</w:t>
      </w:r>
    </w:p>
    <w:p w14:paraId="655913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sz w:val="32"/>
        </w:rPr>
      </w:pPr>
      <w:r>
        <w:rPr>
          <w:rFonts w:hint="eastAsia" w:ascii="仿宋_GB2312" w:hAnsi="仿宋" w:eastAsia="仿宋_GB2312"/>
          <w:sz w:val="32"/>
        </w:rPr>
        <w:t>经查，你（单位）</w:t>
      </w:r>
      <w:r>
        <w:rPr>
          <w:rFonts w:hint="eastAsia" w:ascii="仿宋_GB2312" w:hAnsi="仿宋" w:eastAsia="仿宋_GB2312"/>
          <w:sz w:val="32"/>
          <w:u w:val="single"/>
          <w:lang w:val="en-US" w:eastAsia="zh-CN"/>
        </w:rPr>
        <w:t xml:space="preserve">  未按审批规划条件《建设工程规划许可证》的规定在阳光鑫城项目地下车库安装机械停车设施少提供地下停车位  </w:t>
      </w:r>
      <w:r>
        <w:rPr>
          <w:rFonts w:hint="eastAsia" w:ascii="仿宋_GB2312" w:hAnsi="仿宋" w:eastAsia="仿宋_GB2312"/>
          <w:sz w:val="32"/>
          <w:u w:val="none"/>
          <w:lang w:eastAsia="zh-CN"/>
        </w:rPr>
        <w:t>，</w:t>
      </w:r>
      <w:r>
        <w:rPr>
          <w:rFonts w:hint="eastAsia" w:ascii="仿宋_GB2312" w:hAnsi="仿宋" w:eastAsia="仿宋_GB2312"/>
          <w:sz w:val="32"/>
        </w:rPr>
        <w:t>并且有</w:t>
      </w:r>
      <w:r>
        <w:rPr>
          <w:rFonts w:hint="eastAsia" w:ascii="仿宋_GB2312" w:hAnsi="仿宋" w:eastAsia="仿宋_GB2312"/>
          <w:sz w:val="32"/>
          <w:u w:val="single"/>
          <w:lang w:val="en-US" w:eastAsia="zh-CN"/>
        </w:rPr>
        <w:t xml:space="preserve">  </w:t>
      </w:r>
      <w:r>
        <w:rPr>
          <w:rFonts w:hint="eastAsia" w:ascii="仿宋_GB2312" w:hAnsi="仿宋" w:eastAsia="仿宋_GB2312"/>
          <w:sz w:val="32"/>
          <w:szCs w:val="32"/>
          <w:u w:val="single"/>
          <w:lang w:val="en-US" w:eastAsia="zh-CN"/>
        </w:rPr>
        <w:t>《关于淄博一诺房地产开发有限公司一诺阳光鑫城地下车库问题征求处罚意见的复函》（2021.9.8）、《关于征询淄博一诺房地产开发有限公司未安装机械停车设施的复函》（2024.3.28）、《建设工程规划许可证》（建字第370302-2014-57号）、《建设工程方案审定通知书》（审字第370302-2014-26号）、《阳光鑫城项目总平面图》、《评估报告》、</w:t>
      </w:r>
      <w:r>
        <w:rPr>
          <w:rFonts w:hint="eastAsia" w:ascii="仿宋_GB2312" w:eastAsia="仿宋_GB2312" w:cs="仿宋_GB2312"/>
          <w:color w:val="000000"/>
          <w:sz w:val="32"/>
          <w:szCs w:val="32"/>
          <w:u w:val="single"/>
          <w:lang w:val="en-US" w:eastAsia="zh-CN"/>
        </w:rPr>
        <w:t>《现场检查（勘验）笔录》、《调查（询问）笔录》</w:t>
      </w:r>
      <w:r>
        <w:rPr>
          <w:rFonts w:hint="eastAsia" w:ascii="仿宋_GB2312" w:hAnsi="仿宋" w:eastAsia="仿宋_GB2312"/>
          <w:sz w:val="32"/>
        </w:rPr>
        <w:t>等证据佐证。</w:t>
      </w:r>
    </w:p>
    <w:p w14:paraId="73D4A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highlight w:val="yellow"/>
          <w:lang w:val="en-US" w:eastAsia="zh-CN"/>
        </w:rPr>
      </w:pPr>
      <w:r>
        <w:rPr>
          <w:rFonts w:hint="eastAsia" w:ascii="仿宋_GB2312" w:hAnsi="仿宋" w:eastAsia="仿宋_GB2312"/>
          <w:sz w:val="32"/>
          <w:szCs w:val="32"/>
          <w:highlight w:val="none"/>
          <w:u w:val="single"/>
          <w:lang w:val="en-US" w:eastAsia="zh-CN"/>
        </w:rPr>
        <w:t>2024</w:t>
      </w:r>
      <w:r>
        <w:rPr>
          <w:rFonts w:hint="eastAsia" w:ascii="仿宋_GB2312" w:hAnsi="仿宋" w:eastAsia="仿宋_GB2312"/>
          <w:sz w:val="32"/>
          <w:szCs w:val="32"/>
          <w:highlight w:val="none"/>
          <w:u w:val="none"/>
          <w:lang w:val="en-US" w:eastAsia="zh-CN"/>
        </w:rPr>
        <w:t>年</w:t>
      </w:r>
      <w:r>
        <w:rPr>
          <w:rFonts w:hint="eastAsia" w:ascii="仿宋_GB2312" w:hAnsi="仿宋" w:eastAsia="仿宋_GB2312"/>
          <w:sz w:val="32"/>
          <w:szCs w:val="32"/>
          <w:highlight w:val="none"/>
          <w:u w:val="single"/>
          <w:lang w:val="en-US" w:eastAsia="zh-CN"/>
        </w:rPr>
        <w:t xml:space="preserve"> 7</w:t>
      </w:r>
      <w:r>
        <w:rPr>
          <w:rFonts w:hint="eastAsia" w:ascii="仿宋_GB2312" w:hAnsi="仿宋" w:eastAsia="仿宋_GB2312"/>
          <w:sz w:val="32"/>
          <w:szCs w:val="32"/>
          <w:highlight w:val="none"/>
          <w:u w:val="none"/>
          <w:lang w:val="en-US" w:eastAsia="zh-CN"/>
        </w:rPr>
        <w:t>月</w:t>
      </w:r>
      <w:r>
        <w:rPr>
          <w:rFonts w:hint="eastAsia" w:ascii="仿宋_GB2312" w:hAnsi="仿宋" w:eastAsia="仿宋_GB2312"/>
          <w:sz w:val="32"/>
          <w:szCs w:val="32"/>
          <w:highlight w:val="none"/>
          <w:u w:val="single"/>
          <w:lang w:val="en-US" w:eastAsia="zh-CN"/>
        </w:rPr>
        <w:t xml:space="preserve"> 23</w:t>
      </w:r>
      <w:r>
        <w:rPr>
          <w:rFonts w:hint="eastAsia" w:ascii="仿宋_GB2312" w:hAnsi="仿宋" w:eastAsia="仿宋_GB2312"/>
          <w:sz w:val="32"/>
          <w:szCs w:val="32"/>
          <w:highlight w:val="none"/>
          <w:u w:val="none"/>
          <w:lang w:val="en-US" w:eastAsia="zh-CN"/>
        </w:rPr>
        <w:t>日</w:t>
      </w:r>
      <w:r>
        <w:rPr>
          <w:rFonts w:hint="eastAsia" w:ascii="仿宋_GB2312" w:hAnsi="仿宋" w:eastAsia="仿宋_GB2312"/>
          <w:sz w:val="32"/>
          <w:highlight w:val="none"/>
        </w:rPr>
        <w:t>，本机关依法向你（单位）送达了《行政处罚听证</w:t>
      </w:r>
      <w:r>
        <w:rPr>
          <w:rFonts w:hint="eastAsia" w:ascii="仿宋_GB2312" w:hAnsi="仿宋" w:eastAsia="仿宋_GB2312"/>
          <w:sz w:val="32"/>
          <w:highlight w:val="none"/>
          <w:lang w:val="en-US" w:eastAsia="zh-CN"/>
        </w:rPr>
        <w:t>权利</w:t>
      </w:r>
      <w:r>
        <w:rPr>
          <w:rFonts w:hint="eastAsia" w:ascii="仿宋_GB2312" w:hAnsi="仿宋" w:eastAsia="仿宋_GB2312"/>
          <w:sz w:val="32"/>
          <w:highlight w:val="none"/>
        </w:rPr>
        <w:t>告知书》（淄高新管</w:t>
      </w:r>
      <w:r>
        <w:rPr>
          <w:rFonts w:hint="eastAsia" w:ascii="仿宋_GB2312" w:hAnsi="仿宋" w:eastAsia="仿宋_GB2312"/>
          <w:sz w:val="32"/>
          <w:highlight w:val="none"/>
          <w:lang w:eastAsia="zh-CN"/>
        </w:rPr>
        <w:t>综</w:t>
      </w:r>
      <w:r>
        <w:rPr>
          <w:rFonts w:hint="eastAsia" w:ascii="仿宋_GB2312" w:hAnsi="仿宋" w:eastAsia="仿宋_GB2312"/>
          <w:sz w:val="32"/>
          <w:highlight w:val="none"/>
        </w:rPr>
        <w:t>执</w:t>
      </w:r>
      <w:r>
        <w:rPr>
          <w:rFonts w:hint="eastAsia" w:ascii="仿宋_GB2312" w:hAnsi="仿宋" w:eastAsia="仿宋_GB2312"/>
          <w:sz w:val="32"/>
          <w:highlight w:val="none"/>
          <w:lang w:val="en-US" w:eastAsia="zh-CN"/>
        </w:rPr>
        <w:t>听告</w:t>
      </w:r>
      <w:r>
        <w:rPr>
          <w:rFonts w:hint="eastAsia" w:ascii="仿宋_GB2312" w:hAnsi="仿宋" w:eastAsia="仿宋_GB2312"/>
          <w:sz w:val="32"/>
          <w:highlight w:val="none"/>
        </w:rPr>
        <w:t>字〔</w:t>
      </w:r>
      <w:r>
        <w:rPr>
          <w:rFonts w:hint="eastAsia" w:ascii="仿宋_GB2312" w:hAnsi="仿宋" w:eastAsia="仿宋_GB2312"/>
          <w:sz w:val="32"/>
          <w:highlight w:val="none"/>
          <w:lang w:val="en-US" w:eastAsia="zh-CN"/>
        </w:rPr>
        <w:t>2024</w:t>
      </w:r>
      <w:r>
        <w:rPr>
          <w:rFonts w:hint="eastAsia" w:ascii="仿宋_GB2312" w:hAnsi="仿宋" w:eastAsia="仿宋_GB2312"/>
          <w:sz w:val="32"/>
          <w:highlight w:val="none"/>
        </w:rPr>
        <w:t>〕第</w:t>
      </w:r>
      <w:r>
        <w:rPr>
          <w:rFonts w:hint="eastAsia" w:ascii="仿宋_GB2312" w:hAnsi="仿宋" w:eastAsia="仿宋_GB2312"/>
          <w:sz w:val="32"/>
          <w:highlight w:val="none"/>
          <w:lang w:val="en-US" w:eastAsia="zh-CN"/>
        </w:rPr>
        <w:t>0012</w:t>
      </w:r>
      <w:r>
        <w:rPr>
          <w:rFonts w:hint="eastAsia" w:ascii="仿宋_GB2312" w:hAnsi="仿宋" w:eastAsia="仿宋_GB2312"/>
          <w:sz w:val="32"/>
          <w:highlight w:val="none"/>
        </w:rPr>
        <w:t>号），</w:t>
      </w:r>
      <w:r>
        <w:rPr>
          <w:rFonts w:hint="eastAsia" w:ascii="仿宋_GB2312" w:hAnsi="仿宋" w:eastAsia="仿宋_GB2312"/>
          <w:sz w:val="32"/>
          <w:szCs w:val="32"/>
          <w:u w:val="none"/>
          <w:lang w:val="en-US" w:eastAsia="zh-CN"/>
        </w:rPr>
        <w:t>向你</w:t>
      </w:r>
      <w:r>
        <w:rPr>
          <w:rFonts w:hint="eastAsia" w:ascii="仿宋_GB2312" w:hAnsi="仿宋" w:eastAsia="仿宋_GB2312"/>
          <w:sz w:val="32"/>
        </w:rPr>
        <w:t>（单位）</w:t>
      </w:r>
      <w:r>
        <w:rPr>
          <w:rFonts w:hint="eastAsia" w:ascii="仿宋_GB2312" w:hAnsi="仿宋" w:eastAsia="仿宋_GB2312"/>
          <w:sz w:val="32"/>
          <w:szCs w:val="32"/>
          <w:u w:val="none"/>
          <w:lang w:val="en-US" w:eastAsia="zh-CN"/>
        </w:rPr>
        <w:t>进行了</w:t>
      </w:r>
      <w:r>
        <w:rPr>
          <w:rFonts w:hint="eastAsia" w:ascii="仿宋_GB2312" w:hAnsi="仿宋" w:eastAsia="仿宋_GB2312"/>
          <w:sz w:val="32"/>
          <w:szCs w:val="32"/>
          <w:u w:val="single"/>
          <w:lang w:val="en-US" w:eastAsia="zh-CN"/>
        </w:rPr>
        <w:t>行政处罚事先告知</w:t>
      </w:r>
      <w:r>
        <w:rPr>
          <w:rFonts w:hint="eastAsia" w:ascii="仿宋_GB2312" w:hAnsi="仿宋" w:eastAsia="仿宋_GB2312"/>
          <w:sz w:val="32"/>
          <w:szCs w:val="32"/>
          <w:u w:val="none"/>
          <w:lang w:val="en-US" w:eastAsia="zh-CN"/>
        </w:rPr>
        <w:t>与</w:t>
      </w:r>
      <w:r>
        <w:rPr>
          <w:rFonts w:hint="eastAsia" w:ascii="仿宋_GB2312" w:hAnsi="仿宋" w:eastAsia="仿宋_GB2312"/>
          <w:sz w:val="32"/>
          <w:szCs w:val="32"/>
          <w:u w:val="single"/>
          <w:lang w:val="en-US" w:eastAsia="zh-CN"/>
        </w:rPr>
        <w:t>行政处罚听证权利告知</w:t>
      </w:r>
      <w:r>
        <w:rPr>
          <w:rFonts w:hint="eastAsia" w:ascii="仿宋_GB2312" w:hAnsi="仿宋" w:eastAsia="仿宋_GB2312"/>
          <w:sz w:val="32"/>
          <w:szCs w:val="32"/>
          <w:u w:val="none"/>
          <w:lang w:val="en-US" w:eastAsia="zh-CN"/>
        </w:rPr>
        <w:t>，</w:t>
      </w:r>
      <w:r>
        <w:rPr>
          <w:rFonts w:hint="eastAsia" w:ascii="仿宋_GB2312" w:hAnsi="仿宋" w:eastAsia="仿宋_GB2312"/>
          <w:sz w:val="32"/>
          <w:szCs w:val="32"/>
          <w:lang w:val="en-US" w:eastAsia="zh-CN"/>
        </w:rPr>
        <w:t>你</w:t>
      </w:r>
      <w:r>
        <w:rPr>
          <w:rFonts w:hint="eastAsia" w:ascii="仿宋_GB2312" w:hAnsi="仿宋" w:eastAsia="仿宋_GB2312"/>
          <w:sz w:val="32"/>
        </w:rPr>
        <w:t>（单位）</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未在告知的时间内提出陈述、申辩意见，也未要求举行听证</w:t>
      </w:r>
      <w:r>
        <w:rPr>
          <w:rFonts w:hint="eastAsia" w:ascii="仿宋_GB2312" w:hAnsi="仿宋" w:eastAsia="仿宋_GB2312"/>
          <w:sz w:val="32"/>
          <w:szCs w:val="32"/>
        </w:rPr>
        <w:t>。</w:t>
      </w:r>
    </w:p>
    <w:p w14:paraId="487ACF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Times New Roman"/>
          <w:sz w:val="32"/>
          <w:u w:val="single"/>
          <w:lang w:val="en-US" w:eastAsia="zh-CN"/>
        </w:rPr>
      </w:pPr>
      <w:r>
        <w:rPr>
          <w:rFonts w:hint="eastAsia" w:ascii="仿宋_GB2312" w:hAnsi="仿宋" w:eastAsia="仿宋_GB2312"/>
          <w:sz w:val="32"/>
        </w:rPr>
        <w:t>本机关认为，你（单位）</w:t>
      </w:r>
      <w:r>
        <w:rPr>
          <w:rFonts w:hint="eastAsia" w:ascii="仿宋_GB2312" w:hAnsi="仿宋" w:eastAsia="仿宋_GB2312"/>
          <w:sz w:val="32"/>
          <w:u w:val="single"/>
          <w:lang w:val="en-US" w:eastAsia="zh-CN"/>
        </w:rPr>
        <w:t>未按审批规划条件《建设工程规划许可证》的规定在阳光鑫城项目地下车库安装机械停车设施少提供地下停车位的行为</w:t>
      </w:r>
      <w:r>
        <w:rPr>
          <w:rFonts w:hint="eastAsia" w:ascii="仿宋_GB2312" w:hAnsi="仿宋" w:eastAsia="仿宋_GB2312"/>
          <w:sz w:val="32"/>
        </w:rPr>
        <w:t>违反了</w:t>
      </w:r>
      <w:r>
        <w:rPr>
          <w:rFonts w:hint="eastAsia" w:ascii="仿宋_GB2312" w:hAnsi="仿宋" w:eastAsia="仿宋_GB2312"/>
          <w:sz w:val="32"/>
          <w:u w:val="single"/>
          <w:lang w:val="en-US" w:eastAsia="zh-CN"/>
        </w:rPr>
        <w:t>《中华人民共和国城乡规划法》第四十三条第一款</w:t>
      </w:r>
      <w:bookmarkStart w:id="0" w:name="_GoBack"/>
      <w:bookmarkEnd w:id="0"/>
      <w:r>
        <w:rPr>
          <w:rFonts w:hint="eastAsia" w:ascii="仿宋_GB2312" w:hAnsi="仿宋" w:eastAsia="仿宋_GB2312"/>
          <w:sz w:val="32"/>
        </w:rPr>
        <w:t>的规定，现依据</w:t>
      </w:r>
      <w:r>
        <w:rPr>
          <w:rFonts w:hint="eastAsia" w:ascii="仿宋_GB2312" w:hAnsi="仿宋" w:eastAsia="仿宋_GB2312"/>
          <w:sz w:val="32"/>
          <w:u w:val="single"/>
          <w:lang w:val="en-US" w:eastAsia="zh-CN"/>
        </w:rPr>
        <w:t>《中华人民共和国城乡规划法》第六十四条、</w:t>
      </w:r>
      <w:r>
        <w:rPr>
          <w:rFonts w:hint="eastAsia" w:ascii="仿宋_GB2312" w:hAnsi="仿宋" w:eastAsia="仿宋_GB2312"/>
          <w:sz w:val="32"/>
          <w:szCs w:val="32"/>
          <w:u w:val="single"/>
          <w:lang w:val="en-US" w:eastAsia="zh-CN"/>
        </w:rPr>
        <w:t>《关于规范城乡规划行政处罚裁量权的指导意见》（建法[2012]99号）第五条第三项、第十二条第一款</w:t>
      </w:r>
      <w:r>
        <w:rPr>
          <w:rFonts w:hint="eastAsia" w:ascii="仿宋_GB2312" w:hAnsi="仿宋" w:eastAsia="仿宋_GB2312"/>
          <w:sz w:val="32"/>
        </w:rPr>
        <w:t>的规定</w:t>
      </w:r>
      <w:r>
        <w:rPr>
          <w:rFonts w:hint="eastAsia" w:ascii="仿宋_GB2312" w:hAnsi="仿宋" w:eastAsia="仿宋_GB2312"/>
          <w:sz w:val="32"/>
          <w:lang w:eastAsia="zh-CN"/>
        </w:rPr>
        <w:t>，</w:t>
      </w:r>
      <w:r>
        <w:rPr>
          <w:rFonts w:hint="eastAsia" w:ascii="仿宋_GB2312" w:hAnsi="仿宋" w:eastAsia="仿宋_GB2312"/>
          <w:sz w:val="32"/>
          <w:u w:val="single"/>
          <w:lang w:val="en-US" w:eastAsia="zh-CN"/>
        </w:rPr>
        <w:t>及</w:t>
      </w:r>
      <w:r>
        <w:rPr>
          <w:rFonts w:hint="eastAsia" w:ascii="仿宋_GB2312" w:hAnsi="仿宋" w:eastAsia="仿宋_GB2312"/>
          <w:sz w:val="32"/>
          <w:szCs w:val="32"/>
          <w:u w:val="single"/>
          <w:lang w:val="en-US" w:eastAsia="zh-CN"/>
        </w:rPr>
        <w:t>淄博市人民政府《部分建设项目停车位配建不足问题处置工作协调会议纪要》（[2021]39号）文件精神</w:t>
      </w:r>
      <w:r>
        <w:rPr>
          <w:rFonts w:hint="eastAsia" w:ascii="仿宋_GB2312" w:hAnsi="仿宋" w:eastAsia="仿宋_GB2312"/>
          <w:sz w:val="32"/>
        </w:rPr>
        <w:t>，决定对你（单位）作出以下行政处罚：</w:t>
      </w:r>
      <w:r>
        <w:rPr>
          <w:rFonts w:hint="eastAsia" w:ascii="仿宋_GB2312" w:hAnsi="仿宋" w:eastAsia="仿宋_GB2312"/>
          <w:sz w:val="32"/>
          <w:szCs w:val="32"/>
          <w:u w:val="single"/>
          <w:lang w:val="en-US" w:eastAsia="zh-CN"/>
        </w:rPr>
        <w:t>罚款人民币陆</w:t>
      </w:r>
      <w:r>
        <w:rPr>
          <w:rFonts w:hint="eastAsia" w:ascii="仿宋_GB2312" w:hAnsi="仿宋" w:eastAsia="仿宋_GB2312" w:cs="宋体"/>
          <w:sz w:val="32"/>
          <w:szCs w:val="32"/>
          <w:u w:val="single"/>
          <w:lang w:val="en-US" w:eastAsia="zh-CN"/>
        </w:rPr>
        <w:t>佰陆拾壹万玖仟玖佰壹拾陆元整（</w:t>
      </w:r>
      <w:r>
        <w:rPr>
          <w:rFonts w:hint="eastAsia" w:ascii="仿宋_GB2312" w:hAnsi="仿宋" w:eastAsia="仿宋_GB2312" w:cs="宋体"/>
          <w:sz w:val="24"/>
          <w:szCs w:val="24"/>
          <w:u w:val="single"/>
          <w:lang w:val="en-US" w:eastAsia="zh-CN"/>
        </w:rPr>
        <w:t>¥</w:t>
      </w:r>
      <w:r>
        <w:rPr>
          <w:rFonts w:hint="eastAsia" w:ascii="仿宋_GB2312" w:hAnsi="仿宋" w:eastAsia="仿宋_GB2312"/>
          <w:sz w:val="32"/>
          <w:szCs w:val="32"/>
          <w:u w:val="single"/>
          <w:lang w:val="en-US" w:eastAsia="zh-CN"/>
        </w:rPr>
        <w:t>6619916.00</w:t>
      </w:r>
      <w:r>
        <w:rPr>
          <w:rFonts w:hint="eastAsia" w:ascii="仿宋_GB2312" w:hAnsi="仿宋" w:eastAsia="仿宋_GB2312" w:cs="宋体"/>
          <w:sz w:val="32"/>
          <w:szCs w:val="32"/>
          <w:u w:val="single"/>
          <w:lang w:val="en-US" w:eastAsia="zh-CN"/>
        </w:rPr>
        <w:t>）的行政处罚。</w:t>
      </w:r>
    </w:p>
    <w:p w14:paraId="78569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rPr>
      </w:pPr>
      <w:r>
        <w:rPr>
          <w:rFonts w:hint="eastAsia" w:ascii="仿宋_GB2312" w:hAnsi="宋体" w:eastAsia="仿宋_GB2312"/>
          <w:sz w:val="32"/>
          <w:szCs w:val="32"/>
        </w:rPr>
        <w:t>履行方式和期限：</w:t>
      </w:r>
      <w:r>
        <w:rPr>
          <w:rFonts w:hint="eastAsia" w:ascii="仿宋_GB2312" w:hAnsi="宋体" w:eastAsia="仿宋_GB2312" w:cs="Times New Roman"/>
          <w:kern w:val="2"/>
          <w:sz w:val="32"/>
          <w:szCs w:val="32"/>
          <w:u w:val="none"/>
          <w:lang w:val="en-US" w:eastAsia="zh-CN" w:bidi="ar-SA"/>
        </w:rPr>
        <w:t>根据《</w:t>
      </w:r>
      <w:r>
        <w:rPr>
          <w:rFonts w:hint="eastAsia" w:ascii="仿宋_GB2312" w:hAnsi="仿宋" w:eastAsia="仿宋_GB2312"/>
          <w:sz w:val="32"/>
          <w:u w:val="none"/>
          <w:lang w:val="en-US" w:eastAsia="zh-CN"/>
        </w:rPr>
        <w:t>中华人民共和国</w:t>
      </w:r>
      <w:r>
        <w:rPr>
          <w:rFonts w:hint="eastAsia" w:ascii="仿宋_GB2312" w:hAnsi="宋体" w:eastAsia="仿宋_GB2312" w:cs="Times New Roman"/>
          <w:kern w:val="2"/>
          <w:sz w:val="32"/>
          <w:szCs w:val="32"/>
          <w:u w:val="none"/>
          <w:lang w:val="en-US" w:eastAsia="zh-CN" w:bidi="ar-SA"/>
        </w:rPr>
        <w:t>行政处罚法》第六十七条第三款规定，当事人应当自收到本行政处罚决定书之日起</w:t>
      </w:r>
      <w:r>
        <w:rPr>
          <w:rFonts w:hint="eastAsia" w:ascii="仿宋_GB2312" w:hAnsi="宋体" w:eastAsia="仿宋_GB2312" w:cs="Times New Roman"/>
          <w:kern w:val="2"/>
          <w:sz w:val="32"/>
          <w:szCs w:val="32"/>
          <w:u w:val="single"/>
          <w:lang w:val="en-US" w:eastAsia="zh-CN" w:bidi="ar-SA"/>
        </w:rPr>
        <w:t>十五日</w:t>
      </w:r>
      <w:r>
        <w:rPr>
          <w:rFonts w:hint="eastAsia" w:ascii="仿宋_GB2312" w:hAnsi="宋体" w:eastAsia="仿宋_GB2312" w:cs="Times New Roman"/>
          <w:kern w:val="2"/>
          <w:sz w:val="32"/>
          <w:szCs w:val="32"/>
          <w:u w:val="none"/>
          <w:lang w:val="en-US" w:eastAsia="zh-CN" w:bidi="ar-SA"/>
        </w:rPr>
        <w:t>内到</w:t>
      </w:r>
      <w:r>
        <w:rPr>
          <w:rFonts w:hint="eastAsia" w:ascii="仿宋_GB2312" w:hAnsi="宋体" w:eastAsia="仿宋_GB2312" w:cs="Times New Roman"/>
          <w:kern w:val="2"/>
          <w:sz w:val="32"/>
          <w:szCs w:val="32"/>
          <w:u w:val="single"/>
          <w:lang w:val="en-US" w:eastAsia="zh-CN" w:bidi="ar-SA"/>
        </w:rPr>
        <w:t>淄博高新区天鸿路36号综合执法局办公楼311室办理缴纳罚款手续</w:t>
      </w:r>
      <w:r>
        <w:rPr>
          <w:rFonts w:hint="eastAsia" w:ascii="仿宋_GB2312" w:hAnsi="宋体" w:eastAsia="仿宋_GB2312" w:cs="Times New Roman"/>
          <w:kern w:val="2"/>
          <w:sz w:val="32"/>
          <w:szCs w:val="32"/>
          <w:u w:val="none"/>
          <w:lang w:val="en-US" w:eastAsia="zh-CN" w:bidi="ar-SA"/>
        </w:rPr>
        <w:t>并到</w:t>
      </w:r>
      <w:r>
        <w:rPr>
          <w:rFonts w:hint="eastAsia" w:ascii="仿宋_GB2312" w:hAnsi="宋体" w:eastAsia="仿宋_GB2312" w:cs="Times New Roman"/>
          <w:kern w:val="2"/>
          <w:sz w:val="32"/>
          <w:szCs w:val="32"/>
          <w:u w:val="single"/>
          <w:lang w:val="en-US" w:eastAsia="zh-CN" w:bidi="ar-SA"/>
        </w:rPr>
        <w:t>指定的银行或者通过电子支付系统</w:t>
      </w:r>
      <w:r>
        <w:rPr>
          <w:rFonts w:hint="eastAsia" w:ascii="仿宋_GB2312" w:hAnsi="宋体" w:eastAsia="仿宋_GB2312" w:cs="Times New Roman"/>
          <w:kern w:val="2"/>
          <w:sz w:val="32"/>
          <w:szCs w:val="32"/>
          <w:u w:val="none"/>
          <w:lang w:val="en-US" w:eastAsia="zh-CN" w:bidi="ar-SA"/>
        </w:rPr>
        <w:t>缴纳罚款，到期不缴纳的，根据《</w:t>
      </w:r>
      <w:r>
        <w:rPr>
          <w:rFonts w:hint="eastAsia" w:ascii="仿宋_GB2312" w:hAnsi="仿宋" w:eastAsia="仿宋_GB2312"/>
          <w:sz w:val="32"/>
          <w:u w:val="none"/>
          <w:lang w:val="en-US" w:eastAsia="zh-CN"/>
        </w:rPr>
        <w:t>中华人民共和国</w:t>
      </w:r>
      <w:r>
        <w:rPr>
          <w:rFonts w:hint="eastAsia" w:ascii="仿宋_GB2312" w:hAnsi="宋体" w:eastAsia="仿宋_GB2312" w:cs="Times New Roman"/>
          <w:kern w:val="2"/>
          <w:sz w:val="32"/>
          <w:szCs w:val="32"/>
          <w:u w:val="none"/>
          <w:lang w:val="en-US" w:eastAsia="zh-CN" w:bidi="ar-SA"/>
        </w:rPr>
        <w:t>行政处罚法》第七十二条第一项规定，每日按罚款数额的</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b w:val="0"/>
          <w:bCs w:val="0"/>
          <w:kern w:val="2"/>
          <w:sz w:val="32"/>
          <w:szCs w:val="32"/>
          <w:u w:val="single"/>
          <w:lang w:val="en-US" w:eastAsia="zh-CN" w:bidi="ar-SA"/>
        </w:rPr>
        <w:t>3%</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u w:val="none"/>
          <w:lang w:val="en-US" w:eastAsia="zh-CN" w:bidi="ar-SA"/>
        </w:rPr>
        <w:t>加处罚款。</w:t>
      </w:r>
    </w:p>
    <w:p w14:paraId="5235CB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rPr>
        <w:t>如对本决定不服，可自收到本决定书之日起</w:t>
      </w:r>
      <w:r>
        <w:rPr>
          <w:rFonts w:hint="eastAsia" w:ascii="仿宋_GB2312" w:hAnsi="仿宋" w:eastAsia="仿宋_GB2312"/>
          <w:sz w:val="32"/>
          <w:u w:val="single"/>
        </w:rPr>
        <w:t>六十日</w:t>
      </w:r>
      <w:r>
        <w:rPr>
          <w:rFonts w:hint="eastAsia" w:ascii="仿宋_GB2312" w:hAnsi="仿宋" w:eastAsia="仿宋_GB2312"/>
          <w:sz w:val="32"/>
        </w:rPr>
        <w:t>内依法向</w:t>
      </w:r>
      <w:r>
        <w:rPr>
          <w:rFonts w:hint="eastAsia" w:ascii="仿宋_GB2312" w:hAnsi="仿宋" w:eastAsia="仿宋_GB2312"/>
          <w:sz w:val="32"/>
          <w:u w:val="single"/>
        </w:rPr>
        <w:t>山东省人民政府</w:t>
      </w:r>
      <w:r>
        <w:rPr>
          <w:rFonts w:hint="eastAsia" w:ascii="仿宋_GB2312" w:hAnsi="仿宋" w:eastAsia="仿宋_GB2312"/>
          <w:sz w:val="32"/>
        </w:rPr>
        <w:t>申请行政复议，或自收到本决定书之日起</w:t>
      </w:r>
      <w:r>
        <w:rPr>
          <w:rFonts w:hint="eastAsia" w:ascii="仿宋_GB2312" w:hAnsi="仿宋" w:eastAsia="仿宋_GB2312"/>
          <w:sz w:val="32"/>
          <w:u w:val="single"/>
        </w:rPr>
        <w:t>六个月</w:t>
      </w:r>
      <w:r>
        <w:rPr>
          <w:rFonts w:hint="eastAsia" w:ascii="仿宋_GB2312" w:hAnsi="仿宋" w:eastAsia="仿宋_GB2312"/>
          <w:sz w:val="32"/>
        </w:rPr>
        <w:t>内直接向</w:t>
      </w:r>
      <w:r>
        <w:rPr>
          <w:rFonts w:hint="eastAsia" w:ascii="仿宋_GB2312" w:hAnsi="仿宋" w:eastAsia="仿宋_GB2312"/>
          <w:sz w:val="32"/>
          <w:u w:val="single"/>
        </w:rPr>
        <w:t>淄博市中级人民法院</w:t>
      </w:r>
      <w:r>
        <w:rPr>
          <w:rFonts w:hint="eastAsia" w:ascii="仿宋_GB2312" w:hAnsi="仿宋" w:eastAsia="仿宋_GB2312"/>
          <w:sz w:val="32"/>
        </w:rPr>
        <w:t>或</w:t>
      </w:r>
      <w:r>
        <w:rPr>
          <w:rFonts w:hint="eastAsia" w:ascii="仿宋_GB2312" w:hAnsi="仿宋" w:eastAsia="仿宋_GB2312"/>
          <w:sz w:val="32"/>
          <w:u w:val="single"/>
        </w:rPr>
        <w:t>其指定管辖法院</w:t>
      </w:r>
      <w:r>
        <w:rPr>
          <w:rFonts w:hint="eastAsia" w:ascii="仿宋_GB2312" w:hAnsi="仿宋" w:eastAsia="仿宋_GB2312"/>
          <w:sz w:val="32"/>
        </w:rPr>
        <w:t>提起行政诉讼。逾期不申请复议，也不向人民法院起诉，又不履行本处罚决定，本机关将依法申请人民法院强制执行。</w:t>
      </w:r>
    </w:p>
    <w:p w14:paraId="349A28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14:paraId="287588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14:paraId="08FB6C2E">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center"/>
        <w:textAlignment w:val="auto"/>
        <w:rPr>
          <w:rFonts w:ascii="仿宋_GB2312" w:hAnsi="仿宋" w:eastAsia="仿宋_GB2312"/>
          <w:sz w:val="32"/>
        </w:rPr>
      </w:pPr>
      <w:r>
        <w:rPr>
          <w:rFonts w:hint="eastAsia" w:ascii="仿宋_GB2312" w:hAnsi="仿宋" w:eastAsia="仿宋_GB2312"/>
          <w:sz w:val="32"/>
        </w:rPr>
        <w:t xml:space="preserve">     淄博高新技术产业开发区管理委员会</w:t>
      </w:r>
    </w:p>
    <w:p w14:paraId="58D2CC32">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center"/>
        <w:textAlignment w:val="auto"/>
        <w:rPr>
          <w:rFonts w:hint="eastAsia" w:ascii="仿宋_GB2312" w:hAnsi="仿宋" w:eastAsia="仿宋_GB2312"/>
          <w:sz w:val="32"/>
        </w:rPr>
      </w:pPr>
      <w:r>
        <w:rPr>
          <w:rFonts w:hint="eastAsia" w:ascii="仿宋_GB2312" w:hAnsi="仿宋" w:eastAsia="仿宋_GB2312"/>
          <w:sz w:val="32"/>
          <w:lang w:val="en-US" w:eastAsia="zh-CN"/>
        </w:rPr>
        <w:t xml:space="preserve">  2024</w:t>
      </w:r>
      <w:r>
        <w:rPr>
          <w:rFonts w:hint="eastAsia" w:ascii="仿宋_GB2312" w:hAnsi="仿宋" w:eastAsia="仿宋_GB2312"/>
          <w:sz w:val="32"/>
        </w:rPr>
        <w:t>年</w:t>
      </w:r>
      <w:r>
        <w:rPr>
          <w:rFonts w:hint="eastAsia" w:ascii="仿宋_GB2312" w:hAnsi="仿宋" w:eastAsia="仿宋_GB2312"/>
          <w:sz w:val="32"/>
          <w:lang w:val="en-US" w:eastAsia="zh-CN"/>
        </w:rPr>
        <w:t>8</w:t>
      </w:r>
      <w:r>
        <w:rPr>
          <w:rFonts w:hint="eastAsia" w:ascii="仿宋_GB2312" w:hAnsi="仿宋" w:eastAsia="仿宋_GB2312"/>
          <w:sz w:val="32"/>
        </w:rPr>
        <w:t>月</w:t>
      </w:r>
      <w:r>
        <w:rPr>
          <w:rFonts w:hint="eastAsia" w:ascii="仿宋_GB2312" w:hAnsi="仿宋" w:eastAsia="仿宋_GB2312"/>
          <w:sz w:val="32"/>
          <w:lang w:val="en-US" w:eastAsia="zh-CN"/>
        </w:rPr>
        <w:t>6</w:t>
      </w:r>
      <w:r>
        <w:rPr>
          <w:rFonts w:hint="eastAsia" w:ascii="仿宋_GB2312" w:hAnsi="仿宋" w:eastAsia="仿宋_GB2312"/>
          <w:sz w:val="32"/>
        </w:rPr>
        <w:t>日</w:t>
      </w:r>
    </w:p>
    <w:p w14:paraId="7C7E7DAA">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center"/>
        <w:textAlignment w:val="auto"/>
        <w:rPr>
          <w:rFonts w:hint="eastAsia" w:ascii="仿宋_GB2312" w:hAnsi="仿宋" w:eastAsia="仿宋_GB2312"/>
          <w:sz w:val="32"/>
        </w:rPr>
        <w:sectPr>
          <w:footerReference r:id="rId3" w:type="default"/>
          <w:pgSz w:w="11906" w:h="16838"/>
          <w:pgMar w:top="1440" w:right="1706" w:bottom="1440" w:left="1800" w:header="851" w:footer="992" w:gutter="0"/>
          <w:pgNumType w:fmt="decimal"/>
          <w:cols w:space="425" w:num="1"/>
          <w:docGrid w:type="lines" w:linePitch="312" w:charSpace="0"/>
        </w:sectPr>
      </w:pPr>
    </w:p>
    <w:p w14:paraId="7295697B">
      <w:pPr>
        <w:spacing w:line="0" w:lineRule="atLeast"/>
        <w:jc w:val="center"/>
        <w:rPr>
          <w:rFonts w:hint="eastAsia"/>
          <w:b/>
          <w:bCs/>
          <w:sz w:val="44"/>
        </w:rPr>
      </w:pPr>
    </w:p>
    <w:p w14:paraId="48717398">
      <w:pPr>
        <w:spacing w:line="0" w:lineRule="atLeast"/>
        <w:jc w:val="center"/>
        <w:rPr>
          <w:rFonts w:hint="eastAsia"/>
          <w:b/>
          <w:bCs/>
          <w:sz w:val="44"/>
        </w:rPr>
      </w:pPr>
      <w:r>
        <w:rPr>
          <w:rFonts w:hint="eastAsia"/>
          <w:b/>
          <w:bCs/>
          <w:sz w:val="44"/>
        </w:rPr>
        <w:t>法律文书送达回证</w:t>
      </w:r>
    </w:p>
    <w:p w14:paraId="1E52061D">
      <w:pPr>
        <w:spacing w:line="0" w:lineRule="atLeas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6811"/>
      </w:tblGrid>
      <w:tr w14:paraId="12C7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49" w:type="dxa"/>
            <w:tcBorders>
              <w:top w:val="single" w:color="auto" w:sz="12" w:space="0"/>
              <w:left w:val="single" w:color="auto" w:sz="12" w:space="0"/>
            </w:tcBorders>
            <w:vAlign w:val="center"/>
          </w:tcPr>
          <w:p w14:paraId="18848CEC">
            <w:pPr>
              <w:spacing w:line="0" w:lineRule="atLeast"/>
              <w:jc w:val="center"/>
              <w:rPr>
                <w:rFonts w:hint="eastAsia" w:ascii="仿宋_GB2312" w:hAnsi="仿宋" w:eastAsia="仿宋_GB2312"/>
                <w:sz w:val="32"/>
              </w:rPr>
            </w:pPr>
            <w:r>
              <w:rPr>
                <w:rFonts w:hint="eastAsia" w:ascii="仿宋_GB2312" w:hAnsi="仿宋" w:eastAsia="仿宋_GB2312"/>
                <w:sz w:val="32"/>
              </w:rPr>
              <w:t>送达文书</w:t>
            </w:r>
          </w:p>
          <w:p w14:paraId="4277C935">
            <w:pPr>
              <w:spacing w:line="0" w:lineRule="atLeast"/>
              <w:jc w:val="center"/>
              <w:rPr>
                <w:rFonts w:hint="eastAsia" w:ascii="仿宋_GB2312" w:hAnsi="仿宋" w:eastAsia="仿宋_GB2312"/>
                <w:sz w:val="32"/>
              </w:rPr>
            </w:pPr>
            <w:r>
              <w:rPr>
                <w:rFonts w:hint="eastAsia" w:ascii="仿宋_GB2312" w:hAnsi="仿宋" w:eastAsia="仿宋_GB2312"/>
                <w:sz w:val="32"/>
              </w:rPr>
              <w:t>名称及编号</w:t>
            </w:r>
          </w:p>
        </w:tc>
        <w:tc>
          <w:tcPr>
            <w:tcW w:w="6811" w:type="dxa"/>
            <w:tcBorders>
              <w:top w:val="single" w:color="auto" w:sz="12" w:space="0"/>
              <w:right w:val="single" w:color="auto" w:sz="12" w:space="0"/>
            </w:tcBorders>
            <w:vAlign w:val="center"/>
          </w:tcPr>
          <w:p w14:paraId="3D9A65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sz w:val="44"/>
              </w:rPr>
            </w:pPr>
            <w:r>
              <w:rPr>
                <w:rFonts w:hint="eastAsia" w:ascii="宋体" w:hAnsi="宋体"/>
                <w:b/>
                <w:bCs/>
                <w:sz w:val="44"/>
              </w:rPr>
              <w:t>行政处罚决定书</w:t>
            </w:r>
          </w:p>
          <w:p w14:paraId="6D01825B">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b/>
                <w:bCs/>
                <w:sz w:val="44"/>
              </w:rPr>
            </w:pPr>
            <w:r>
              <w:rPr>
                <w:rFonts w:hint="eastAsia" w:ascii="仿宋_GB2312" w:hAnsi="仿宋" w:eastAsia="仿宋_GB2312"/>
                <w:sz w:val="28"/>
                <w:szCs w:val="28"/>
              </w:rPr>
              <w:t>淄高新管</w:t>
            </w:r>
            <w:r>
              <w:rPr>
                <w:rFonts w:hint="eastAsia" w:ascii="仿宋_GB2312" w:hAnsi="仿宋" w:eastAsia="仿宋_GB2312"/>
                <w:sz w:val="28"/>
                <w:szCs w:val="28"/>
                <w:lang w:eastAsia="zh-CN"/>
              </w:rPr>
              <w:t>综</w:t>
            </w:r>
            <w:r>
              <w:rPr>
                <w:rFonts w:hint="eastAsia" w:ascii="仿宋_GB2312" w:hAnsi="仿宋" w:eastAsia="仿宋_GB2312"/>
                <w:sz w:val="28"/>
                <w:szCs w:val="28"/>
              </w:rPr>
              <w:t>执</w:t>
            </w:r>
            <w:r>
              <w:rPr>
                <w:rFonts w:hint="eastAsia" w:ascii="仿宋_GB2312" w:hAnsi="仿宋" w:eastAsia="仿宋_GB2312"/>
                <w:sz w:val="28"/>
                <w:szCs w:val="28"/>
                <w:lang w:eastAsia="zh-CN"/>
              </w:rPr>
              <w:t>罚</w:t>
            </w:r>
            <w:r>
              <w:rPr>
                <w:rFonts w:hint="eastAsia" w:ascii="仿宋_GB2312" w:hAnsi="仿宋" w:eastAsia="仿宋_GB2312"/>
                <w:sz w:val="28"/>
                <w:szCs w:val="28"/>
              </w:rPr>
              <w:t>字</w:t>
            </w:r>
            <w:r>
              <w:rPr>
                <w:rFonts w:hint="eastAsia" w:ascii="仿宋" w:hAnsi="仿宋" w:eastAsia="仿宋"/>
                <w:sz w:val="28"/>
                <w:szCs w:val="28"/>
              </w:rPr>
              <w:t>〔</w:t>
            </w:r>
            <w:r>
              <w:rPr>
                <w:rFonts w:hint="eastAsia" w:ascii="仿宋" w:hAnsi="仿宋" w:eastAsia="仿宋"/>
                <w:sz w:val="28"/>
                <w:szCs w:val="28"/>
                <w:lang w:val="en-US" w:eastAsia="zh-CN"/>
              </w:rPr>
              <w:t>2024</w:t>
            </w:r>
            <w:r>
              <w:rPr>
                <w:rFonts w:hint="eastAsia" w:ascii="仿宋" w:hAnsi="仿宋" w:eastAsia="仿宋"/>
                <w:sz w:val="28"/>
                <w:szCs w:val="28"/>
              </w:rPr>
              <w:t>〕第</w:t>
            </w:r>
            <w:r>
              <w:rPr>
                <w:rFonts w:hint="eastAsia" w:ascii="仿宋_GB2312" w:hAnsi="仿宋" w:eastAsia="仿宋_GB2312"/>
                <w:sz w:val="28"/>
                <w:szCs w:val="28"/>
                <w:lang w:val="en-US" w:eastAsia="zh-CN"/>
              </w:rPr>
              <w:t>0012</w:t>
            </w:r>
            <w:r>
              <w:rPr>
                <w:rFonts w:hint="eastAsia" w:ascii="仿宋_GB2312" w:hAnsi="仿宋" w:eastAsia="仿宋_GB2312"/>
                <w:sz w:val="28"/>
                <w:szCs w:val="28"/>
              </w:rPr>
              <w:t>号</w:t>
            </w:r>
          </w:p>
        </w:tc>
      </w:tr>
      <w:tr w14:paraId="18E7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249" w:type="dxa"/>
            <w:tcBorders>
              <w:left w:val="single" w:color="auto" w:sz="12" w:space="0"/>
            </w:tcBorders>
            <w:vAlign w:val="center"/>
          </w:tcPr>
          <w:p w14:paraId="1CFE3865">
            <w:pPr>
              <w:jc w:val="center"/>
              <w:rPr>
                <w:rFonts w:hint="eastAsia" w:ascii="仿宋_GB2312" w:hAnsi="仿宋" w:eastAsia="仿宋_GB2312"/>
                <w:sz w:val="32"/>
              </w:rPr>
            </w:pPr>
            <w:r>
              <w:rPr>
                <w:rFonts w:hint="eastAsia" w:ascii="仿宋_GB2312" w:hAnsi="仿宋" w:eastAsia="仿宋_GB2312"/>
                <w:sz w:val="32"/>
              </w:rPr>
              <w:t>受送达人</w:t>
            </w:r>
          </w:p>
        </w:tc>
        <w:tc>
          <w:tcPr>
            <w:tcW w:w="6811" w:type="dxa"/>
            <w:tcBorders>
              <w:right w:val="single" w:color="auto" w:sz="12" w:space="0"/>
            </w:tcBorders>
            <w:vAlign w:val="center"/>
          </w:tcPr>
          <w:p w14:paraId="5BAFA186">
            <w:pPr>
              <w:jc w:val="center"/>
              <w:rPr>
                <w:rFonts w:hint="eastAsia" w:ascii="仿宋_GB2312" w:hAnsi="仿宋" w:eastAsia="仿宋_GB2312"/>
                <w:sz w:val="32"/>
              </w:rPr>
            </w:pPr>
            <w:r>
              <w:rPr>
                <w:rFonts w:hint="eastAsia" w:ascii="仿宋_GB2312" w:hAnsi="仿宋" w:eastAsia="仿宋_GB2312"/>
                <w:sz w:val="32"/>
              </w:rPr>
              <w:t>淄博一诺房地产开发有限公司</w:t>
            </w:r>
          </w:p>
          <w:p w14:paraId="591A3132">
            <w:pPr>
              <w:jc w:val="center"/>
              <w:rPr>
                <w:rFonts w:hint="eastAsia" w:ascii="仿宋_GB2312" w:hAnsi="仿宋" w:eastAsia="仿宋_GB2312"/>
                <w:sz w:val="32"/>
              </w:rPr>
            </w:pPr>
            <w:r>
              <w:rPr>
                <w:rFonts w:hint="eastAsia" w:ascii="仿宋_GB2312" w:hAnsi="仿宋" w:eastAsia="仿宋_GB2312"/>
                <w:sz w:val="32"/>
              </w:rPr>
              <w:t>（统一社会信用代码：91370300724977490G）</w:t>
            </w:r>
          </w:p>
        </w:tc>
      </w:tr>
      <w:tr w14:paraId="5981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49" w:type="dxa"/>
            <w:tcBorders>
              <w:left w:val="single" w:color="auto" w:sz="12" w:space="0"/>
            </w:tcBorders>
            <w:vAlign w:val="center"/>
          </w:tcPr>
          <w:p w14:paraId="38D1C453">
            <w:pPr>
              <w:jc w:val="center"/>
              <w:rPr>
                <w:rFonts w:hint="eastAsia" w:ascii="仿宋_GB2312" w:hAnsi="仿宋" w:eastAsia="仿宋_GB2312"/>
                <w:sz w:val="32"/>
              </w:rPr>
            </w:pPr>
            <w:r>
              <w:rPr>
                <w:rFonts w:hint="eastAsia" w:ascii="仿宋_GB2312" w:hAnsi="仿宋" w:eastAsia="仿宋_GB2312"/>
                <w:sz w:val="32"/>
              </w:rPr>
              <w:t>送达地址</w:t>
            </w:r>
          </w:p>
        </w:tc>
        <w:tc>
          <w:tcPr>
            <w:tcW w:w="6811" w:type="dxa"/>
            <w:tcBorders>
              <w:right w:val="single" w:color="auto" w:sz="12" w:space="0"/>
            </w:tcBorders>
            <w:vAlign w:val="center"/>
          </w:tcPr>
          <w:p w14:paraId="07242426">
            <w:pPr>
              <w:jc w:val="center"/>
              <w:rPr>
                <w:rFonts w:hint="eastAsia" w:ascii="仿宋_GB2312" w:hAnsi="仿宋" w:eastAsia="仿宋_GB2312"/>
                <w:sz w:val="32"/>
              </w:rPr>
            </w:pPr>
          </w:p>
        </w:tc>
      </w:tr>
      <w:tr w14:paraId="2536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14:paraId="23241CB0">
            <w:pPr>
              <w:jc w:val="center"/>
              <w:rPr>
                <w:rFonts w:hint="eastAsia" w:ascii="仿宋_GB2312" w:hAnsi="仿宋" w:eastAsia="仿宋_GB2312"/>
                <w:sz w:val="32"/>
              </w:rPr>
            </w:pPr>
            <w:r>
              <w:rPr>
                <w:rFonts w:hint="eastAsia" w:ascii="仿宋_GB2312" w:hAnsi="仿宋" w:eastAsia="仿宋_GB2312"/>
                <w:sz w:val="32"/>
              </w:rPr>
              <w:t>送达方式</w:t>
            </w:r>
          </w:p>
        </w:tc>
        <w:tc>
          <w:tcPr>
            <w:tcW w:w="6811" w:type="dxa"/>
            <w:tcBorders>
              <w:right w:val="single" w:color="auto" w:sz="12" w:space="0"/>
            </w:tcBorders>
            <w:vAlign w:val="center"/>
          </w:tcPr>
          <w:p w14:paraId="3037936F">
            <w:pPr>
              <w:jc w:val="center"/>
              <w:rPr>
                <w:rFonts w:hint="eastAsia" w:ascii="仿宋_GB2312" w:hAnsi="仿宋" w:eastAsia="仿宋_GB2312"/>
                <w:sz w:val="32"/>
              </w:rPr>
            </w:pPr>
          </w:p>
        </w:tc>
      </w:tr>
      <w:tr w14:paraId="79C0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2249" w:type="dxa"/>
            <w:tcBorders>
              <w:left w:val="single" w:color="auto" w:sz="12" w:space="0"/>
            </w:tcBorders>
            <w:vAlign w:val="center"/>
          </w:tcPr>
          <w:p w14:paraId="01F69501">
            <w:pPr>
              <w:spacing w:line="0" w:lineRule="atLeast"/>
              <w:jc w:val="center"/>
              <w:rPr>
                <w:rFonts w:hint="eastAsia" w:ascii="仿宋_GB2312" w:hAnsi="仿宋" w:eastAsia="仿宋_GB2312"/>
                <w:sz w:val="32"/>
              </w:rPr>
            </w:pPr>
            <w:r>
              <w:rPr>
                <w:rFonts w:hint="eastAsia" w:ascii="仿宋_GB2312" w:hAnsi="仿宋" w:eastAsia="仿宋_GB2312"/>
                <w:sz w:val="32"/>
              </w:rPr>
              <w:t>受送达人</w:t>
            </w:r>
          </w:p>
          <w:p w14:paraId="0460BF26">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14:paraId="5DB4604E">
            <w:pPr>
              <w:jc w:val="right"/>
              <w:rPr>
                <w:rFonts w:hint="eastAsia" w:ascii="仿宋_GB2312" w:hAnsi="仿宋" w:eastAsia="仿宋_GB2312"/>
                <w:sz w:val="32"/>
              </w:rPr>
            </w:pPr>
          </w:p>
          <w:p w14:paraId="600F4830">
            <w:pPr>
              <w:jc w:val="right"/>
              <w:rPr>
                <w:rFonts w:hint="eastAsia" w:ascii="仿宋_GB2312" w:hAnsi="仿宋" w:eastAsia="仿宋_GB2312"/>
                <w:sz w:val="32"/>
              </w:rPr>
            </w:pPr>
            <w:r>
              <w:rPr>
                <w:rFonts w:hint="eastAsia" w:ascii="仿宋_GB2312" w:hAnsi="仿宋" w:eastAsia="仿宋_GB2312"/>
                <w:sz w:val="32"/>
              </w:rPr>
              <w:t>年   月   日</w:t>
            </w:r>
          </w:p>
        </w:tc>
      </w:tr>
      <w:tr w14:paraId="2FB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249" w:type="dxa"/>
            <w:tcBorders>
              <w:left w:val="single" w:color="auto" w:sz="12" w:space="0"/>
            </w:tcBorders>
            <w:vAlign w:val="center"/>
          </w:tcPr>
          <w:p w14:paraId="677C5463">
            <w:pPr>
              <w:jc w:val="center"/>
              <w:rPr>
                <w:rFonts w:hint="eastAsia" w:ascii="仿宋_GB2312" w:hAnsi="仿宋" w:eastAsia="仿宋_GB2312"/>
                <w:sz w:val="32"/>
              </w:rPr>
            </w:pPr>
            <w:r>
              <w:rPr>
                <w:rFonts w:hint="eastAsia" w:ascii="仿宋_GB2312" w:hAnsi="仿宋" w:eastAsia="仿宋_GB2312"/>
                <w:sz w:val="32"/>
              </w:rPr>
              <w:t>送达人签字</w:t>
            </w:r>
          </w:p>
        </w:tc>
        <w:tc>
          <w:tcPr>
            <w:tcW w:w="6811" w:type="dxa"/>
            <w:tcBorders>
              <w:right w:val="single" w:color="auto" w:sz="12" w:space="0"/>
            </w:tcBorders>
            <w:vAlign w:val="bottom"/>
          </w:tcPr>
          <w:p w14:paraId="0504C2A0">
            <w:pPr>
              <w:jc w:val="right"/>
              <w:rPr>
                <w:rFonts w:hint="eastAsia" w:ascii="仿宋_GB2312" w:hAnsi="仿宋" w:eastAsia="仿宋_GB2312"/>
                <w:sz w:val="32"/>
              </w:rPr>
            </w:pPr>
            <w:r>
              <w:rPr>
                <w:rFonts w:hint="eastAsia" w:ascii="仿宋_GB2312" w:hAnsi="仿宋" w:eastAsia="仿宋_GB2312"/>
                <w:sz w:val="32"/>
              </w:rPr>
              <w:t>年   月   日</w:t>
            </w:r>
          </w:p>
        </w:tc>
      </w:tr>
      <w:tr w14:paraId="1195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14:paraId="6C17B4E6">
            <w:pPr>
              <w:spacing w:line="0" w:lineRule="atLeast"/>
              <w:jc w:val="center"/>
              <w:rPr>
                <w:rFonts w:hint="eastAsia" w:ascii="仿宋_GB2312" w:hAnsi="仿宋" w:eastAsia="仿宋_GB2312"/>
                <w:sz w:val="32"/>
              </w:rPr>
            </w:pPr>
            <w:r>
              <w:rPr>
                <w:rFonts w:hint="eastAsia" w:ascii="仿宋_GB2312" w:hAnsi="仿宋" w:eastAsia="仿宋_GB2312"/>
                <w:sz w:val="32"/>
              </w:rPr>
              <w:t>代收人及</w:t>
            </w:r>
          </w:p>
          <w:p w14:paraId="6AC64B0B">
            <w:pPr>
              <w:spacing w:line="0" w:lineRule="atLeast"/>
              <w:jc w:val="center"/>
              <w:rPr>
                <w:rFonts w:hint="eastAsia" w:ascii="仿宋_GB2312" w:hAnsi="仿宋" w:eastAsia="仿宋_GB2312"/>
                <w:sz w:val="32"/>
              </w:rPr>
            </w:pPr>
            <w:r>
              <w:rPr>
                <w:rFonts w:hint="eastAsia" w:ascii="仿宋_GB2312" w:hAnsi="仿宋" w:eastAsia="仿宋_GB2312"/>
                <w:sz w:val="32"/>
              </w:rPr>
              <w:t>代收理由</w:t>
            </w:r>
          </w:p>
        </w:tc>
        <w:tc>
          <w:tcPr>
            <w:tcW w:w="6811" w:type="dxa"/>
            <w:tcBorders>
              <w:right w:val="single" w:color="auto" w:sz="12" w:space="0"/>
            </w:tcBorders>
            <w:vAlign w:val="bottom"/>
          </w:tcPr>
          <w:p w14:paraId="37D9B61C">
            <w:pPr>
              <w:jc w:val="right"/>
              <w:rPr>
                <w:rFonts w:hint="eastAsia" w:ascii="仿宋_GB2312" w:hAnsi="仿宋" w:eastAsia="仿宋_GB2312"/>
                <w:sz w:val="32"/>
              </w:rPr>
            </w:pPr>
            <w:r>
              <w:rPr>
                <w:rFonts w:hint="eastAsia" w:ascii="仿宋_GB2312" w:hAnsi="仿宋" w:eastAsia="仿宋_GB2312"/>
                <w:sz w:val="32"/>
              </w:rPr>
              <w:t>年   月   日</w:t>
            </w:r>
          </w:p>
        </w:tc>
      </w:tr>
      <w:tr w14:paraId="07A5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14:paraId="4295941A">
            <w:pPr>
              <w:spacing w:line="0" w:lineRule="atLeast"/>
              <w:jc w:val="center"/>
              <w:rPr>
                <w:rFonts w:hint="eastAsia" w:ascii="仿宋_GB2312" w:hAnsi="仿宋" w:eastAsia="仿宋_GB2312"/>
                <w:sz w:val="32"/>
              </w:rPr>
            </w:pPr>
            <w:r>
              <w:rPr>
                <w:rFonts w:hint="eastAsia" w:ascii="仿宋_GB2312" w:hAnsi="仿宋" w:eastAsia="仿宋_GB2312"/>
                <w:sz w:val="32"/>
              </w:rPr>
              <w:t>见证人</w:t>
            </w:r>
          </w:p>
          <w:p w14:paraId="2EC00299">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14:paraId="6C9E96BC">
            <w:pPr>
              <w:jc w:val="right"/>
              <w:rPr>
                <w:rFonts w:hint="eastAsia" w:ascii="仿宋_GB2312" w:hAnsi="仿宋" w:eastAsia="仿宋_GB2312"/>
                <w:sz w:val="32"/>
              </w:rPr>
            </w:pPr>
            <w:r>
              <w:rPr>
                <w:rFonts w:hint="eastAsia" w:ascii="仿宋_GB2312" w:hAnsi="仿宋" w:eastAsia="仿宋_GB2312"/>
                <w:sz w:val="32"/>
              </w:rPr>
              <w:t>年   月   日</w:t>
            </w:r>
          </w:p>
        </w:tc>
      </w:tr>
      <w:tr w14:paraId="1A4F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249" w:type="dxa"/>
            <w:tcBorders>
              <w:left w:val="single" w:color="auto" w:sz="12" w:space="0"/>
              <w:bottom w:val="single" w:color="auto" w:sz="12" w:space="0"/>
            </w:tcBorders>
            <w:vAlign w:val="center"/>
          </w:tcPr>
          <w:p w14:paraId="64AC0B0B">
            <w:pPr>
              <w:jc w:val="center"/>
              <w:rPr>
                <w:rFonts w:hint="eastAsia" w:ascii="仿宋_GB2312" w:hAnsi="仿宋" w:eastAsia="仿宋_GB2312"/>
                <w:sz w:val="32"/>
              </w:rPr>
            </w:pPr>
            <w:r>
              <w:rPr>
                <w:rFonts w:hint="eastAsia" w:ascii="仿宋_GB2312" w:hAnsi="仿宋" w:eastAsia="仿宋_GB2312"/>
                <w:sz w:val="32"/>
              </w:rPr>
              <w:t>备  注</w:t>
            </w:r>
          </w:p>
        </w:tc>
        <w:tc>
          <w:tcPr>
            <w:tcW w:w="6811" w:type="dxa"/>
            <w:tcBorders>
              <w:bottom w:val="single" w:color="auto" w:sz="12" w:space="0"/>
              <w:right w:val="single" w:color="auto" w:sz="12" w:space="0"/>
            </w:tcBorders>
            <w:vAlign w:val="center"/>
          </w:tcPr>
          <w:p w14:paraId="19DDBE77">
            <w:pPr>
              <w:jc w:val="center"/>
              <w:rPr>
                <w:rFonts w:hint="eastAsia" w:ascii="仿宋_GB2312" w:hAnsi="仿宋" w:eastAsia="仿宋_GB2312"/>
                <w:sz w:val="32"/>
              </w:rPr>
            </w:pPr>
          </w:p>
        </w:tc>
      </w:tr>
    </w:tbl>
    <w:p w14:paraId="0125B15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sz w:val="32"/>
        </w:rPr>
      </w:pPr>
    </w:p>
    <w:sectPr>
      <w:footerReference r:id="rId4"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53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ADFD3">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ADFD3">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23F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zY2ZTQ3ZDU5MmFiN2ZiMDU2YTRiYzU1MTUyNjcifQ=="/>
  </w:docVars>
  <w:rsids>
    <w:rsidRoot w:val="00807762"/>
    <w:rsid w:val="00191589"/>
    <w:rsid w:val="00545502"/>
    <w:rsid w:val="00807762"/>
    <w:rsid w:val="00AA50F4"/>
    <w:rsid w:val="00C00883"/>
    <w:rsid w:val="00C82A3A"/>
    <w:rsid w:val="00D115F1"/>
    <w:rsid w:val="00ED3811"/>
    <w:rsid w:val="00EE2DBB"/>
    <w:rsid w:val="05C863D5"/>
    <w:rsid w:val="060E748F"/>
    <w:rsid w:val="08383CA8"/>
    <w:rsid w:val="099553AF"/>
    <w:rsid w:val="1144541B"/>
    <w:rsid w:val="14792DB7"/>
    <w:rsid w:val="179237BC"/>
    <w:rsid w:val="1AC80779"/>
    <w:rsid w:val="1C9F4596"/>
    <w:rsid w:val="1CE0611A"/>
    <w:rsid w:val="1F373F52"/>
    <w:rsid w:val="262D6EDD"/>
    <w:rsid w:val="274418A4"/>
    <w:rsid w:val="297B2442"/>
    <w:rsid w:val="2BDF6F40"/>
    <w:rsid w:val="2C0359EB"/>
    <w:rsid w:val="31917CE0"/>
    <w:rsid w:val="31FE4D55"/>
    <w:rsid w:val="3B2D013E"/>
    <w:rsid w:val="3C700C3E"/>
    <w:rsid w:val="3CB42D94"/>
    <w:rsid w:val="3DDA7E4A"/>
    <w:rsid w:val="41DE664A"/>
    <w:rsid w:val="43BB37C9"/>
    <w:rsid w:val="476E453E"/>
    <w:rsid w:val="4AF54EBE"/>
    <w:rsid w:val="4CD05AB7"/>
    <w:rsid w:val="50281B04"/>
    <w:rsid w:val="59285A55"/>
    <w:rsid w:val="5DEC200B"/>
    <w:rsid w:val="5DED4BF8"/>
    <w:rsid w:val="5FEE29EC"/>
    <w:rsid w:val="60573BFA"/>
    <w:rsid w:val="64FC354F"/>
    <w:rsid w:val="656822A2"/>
    <w:rsid w:val="6F5E1F6D"/>
    <w:rsid w:val="6F6262AE"/>
    <w:rsid w:val="6FD10230"/>
    <w:rsid w:val="709F4D0D"/>
    <w:rsid w:val="77A358D1"/>
    <w:rsid w:val="77C33D3D"/>
    <w:rsid w:val="78FA71DA"/>
    <w:rsid w:val="7AAF1560"/>
    <w:rsid w:val="7DC7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963</Words>
  <Characters>1085</Characters>
  <Lines>6</Lines>
  <Paragraphs>1</Paragraphs>
  <TotalTime>46</TotalTime>
  <ScaleCrop>false</ScaleCrop>
  <LinksUpToDate>false</LinksUpToDate>
  <CharactersWithSpaces>1140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2019-08-01T07:06:00Z</dcterms:created>
  <dc:creator>王运谋</dc:creator>
  <cp:lastModifiedBy>垂死病中惊坐起，感觉自己萌萌哒！</cp:lastModifiedBy>
  <cp:lastPrinted>2024-08-06T01:47:00Z</cp:lastPrinted>
  <dcterms:modified xsi:type="dcterms:W3CDTF">2025-06-19T07:41:20Z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A8B85AD542F24728B84AF22863300A05_13</vt:lpwstr>
  </property>
  <property fmtid="{D5CDD505-2E9C-101B-9397-08002B2CF9AE}" pid="4" name="KSOTemplateDocerSaveRecord">
    <vt:lpwstr>eyJoZGlkIjoiMzczNjZhMDU0MTg1ODkxOGEwMzg0YjA3MzNjZThiZWUiLCJ1c2VySWQiOiIyNzQ1MTMzMTMifQ==</vt:lpwstr>
  </property>
</Properties>
</file>