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17649">
      <w:pPr>
        <w:pStyle w:val="2"/>
        <w:numPr>
          <w:ilvl w:val="0"/>
          <w:numId w:val="0"/>
        </w:numPr>
        <w:spacing w:before="0" w:beforeLines="0" w:after="0" w:afterLines="0" w:line="240" w:lineRule="auto"/>
        <w:jc w:val="center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Toc11920"/>
    </w:p>
    <w:p w14:paraId="4054BBA6">
      <w:pPr>
        <w:pStyle w:val="2"/>
        <w:numPr>
          <w:ilvl w:val="0"/>
          <w:numId w:val="0"/>
        </w:numPr>
        <w:spacing w:before="0" w:beforeLines="0" w:after="0" w:afterLines="0" w:line="240" w:lineRule="auto"/>
        <w:jc w:val="center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77782E3">
      <w:pPr>
        <w:pStyle w:val="2"/>
        <w:numPr>
          <w:ilvl w:val="0"/>
          <w:numId w:val="0"/>
        </w:numPr>
        <w:spacing w:before="0" w:beforeLines="0" w:after="0" w:afterLines="0" w:line="240" w:lineRule="auto"/>
        <w:jc w:val="center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8B0B1E0">
      <w:pPr>
        <w:pStyle w:val="2"/>
        <w:numPr>
          <w:ilvl w:val="0"/>
          <w:numId w:val="0"/>
        </w:numPr>
        <w:spacing w:before="0" w:beforeLines="0" w:after="0" w:afterLines="0" w:line="240" w:lineRule="auto"/>
        <w:jc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行政处罚决定书</w:t>
      </w:r>
      <w:bookmarkEnd w:id="0"/>
    </w:p>
    <w:p w14:paraId="3883EDCA">
      <w:pPr>
        <w:pStyle w:val="5"/>
        <w:tabs>
          <w:tab w:val="left" w:pos="2833"/>
          <w:tab w:val="left" w:pos="6673"/>
        </w:tabs>
        <w:adjustRightInd w:val="0"/>
        <w:snapToGrid w:val="0"/>
        <w:spacing w:line="530" w:lineRule="exact"/>
        <w:jc w:val="center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                    文书编号：</w:t>
      </w:r>
      <w:r>
        <w:rPr>
          <w:rFonts w:hint="eastAsia" w:ascii="仿宋_GB2312" w:hAnsi="仿宋" w:eastAsia="仿宋_GB2312"/>
          <w:sz w:val="28"/>
          <w:szCs w:val="28"/>
        </w:rPr>
        <w:t>淄高新管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综</w:t>
      </w:r>
      <w:r>
        <w:rPr>
          <w:rFonts w:hint="eastAsia" w:ascii="仿宋_GB2312" w:hAnsi="仿宋" w:eastAsia="仿宋_GB2312"/>
          <w:sz w:val="28"/>
          <w:szCs w:val="28"/>
        </w:rPr>
        <w:t>执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罚</w:t>
      </w:r>
      <w:r>
        <w:rPr>
          <w:rFonts w:hint="eastAsia" w:ascii="仿宋_GB2312" w:hAnsi="仿宋" w:eastAsia="仿宋_GB2312"/>
          <w:sz w:val="28"/>
          <w:szCs w:val="28"/>
        </w:rPr>
        <w:t>字</w:t>
      </w:r>
      <w:r>
        <w:rPr>
          <w:rFonts w:hint="eastAsia" w:ascii="仿宋" w:hAnsi="仿宋" w:eastAsia="仿宋"/>
          <w:sz w:val="28"/>
          <w:szCs w:val="28"/>
        </w:rPr>
        <w:t>〔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2024</w:t>
      </w:r>
      <w:r>
        <w:rPr>
          <w:rFonts w:hint="eastAsia" w:ascii="仿宋" w:hAnsi="仿宋" w:eastAsia="仿宋"/>
          <w:sz w:val="28"/>
          <w:szCs w:val="28"/>
        </w:rPr>
        <w:t>〕第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0020</w:t>
      </w:r>
      <w:r>
        <w:rPr>
          <w:rFonts w:hint="eastAsia" w:ascii="仿宋_GB2312" w:hAnsi="仿宋" w:eastAsia="仿宋_GB2312"/>
          <w:sz w:val="28"/>
          <w:szCs w:val="28"/>
        </w:rPr>
        <w:t>号</w:t>
      </w:r>
    </w:p>
    <w:p w14:paraId="045BAF9A">
      <w:pPr>
        <w:pStyle w:val="5"/>
        <w:keepNext w:val="0"/>
        <w:keepLines w:val="0"/>
        <w:pageBreakBefore w:val="0"/>
        <w:widowControl w:val="0"/>
        <w:tabs>
          <w:tab w:val="left" w:pos="2833"/>
          <w:tab w:val="left" w:pos="6673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</w:pPr>
    </w:p>
    <w:p w14:paraId="275F9AC3">
      <w:pPr>
        <w:pStyle w:val="5"/>
        <w:tabs>
          <w:tab w:val="left" w:pos="2833"/>
          <w:tab w:val="left" w:pos="6673"/>
        </w:tabs>
        <w:adjustRightInd w:val="0"/>
        <w:snapToGrid w:val="0"/>
        <w:spacing w:line="530" w:lineRule="exact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山东恒泰光电科技有限公司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>统一社会信用代码：91370303348955377B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：</w:t>
      </w:r>
    </w:p>
    <w:p w14:paraId="6B242AF2">
      <w:pPr>
        <w:pStyle w:val="5"/>
        <w:tabs>
          <w:tab w:val="left" w:pos="4095"/>
          <w:tab w:val="left" w:pos="6348"/>
        </w:tabs>
        <w:adjustRightInd w:val="0"/>
        <w:snapToGrid w:val="0"/>
        <w:spacing w:line="53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经查，你（单位）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未按照《劳动保障监察责令改正决定书》（淄高新人社监令字〔2024〕第008号）</w:t>
      </w:r>
      <w:r>
        <w:rPr>
          <w:rFonts w:hint="eastAsia" w:ascii="仿宋_GB2312" w:hAnsi="仿宋" w:eastAsia="仿宋_GB2312"/>
          <w:sz w:val="32"/>
          <w:szCs w:val="32"/>
          <w:u w:val="single"/>
        </w:rPr>
        <w:t>的要求依法足额支付职工工资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，并且有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2024年6月18日《劳动保障监察询问笔录》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>2024年10月9日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>调查（询问）笔录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等证据佐证。</w:t>
      </w:r>
    </w:p>
    <w:p w14:paraId="535BB5DB">
      <w:pPr>
        <w:pStyle w:val="5"/>
        <w:tabs>
          <w:tab w:val="left" w:pos="5531"/>
        </w:tabs>
        <w:adjustRightInd w:val="0"/>
        <w:snapToGrid w:val="0"/>
        <w:spacing w:line="53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本机关认为，你（单位）违反了</w:t>
      </w:r>
      <w:r>
        <w:rPr>
          <w:rFonts w:hint="eastAsia" w:ascii="仿宋_GB2312" w:hAnsi="仿宋" w:eastAsia="仿宋_GB2312"/>
          <w:sz w:val="32"/>
          <w:szCs w:val="32"/>
          <w:u w:val="single"/>
        </w:rPr>
        <w:t>《劳动保障监察条例》第六条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的规定，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日对其下达了《行政处罚事先告知书》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果有异议，可以在2024年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日前提出陈述、申辩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你（单位）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未在告知的时间内提出陈述、申辩意见。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现依据</w:t>
      </w:r>
      <w:r>
        <w:rPr>
          <w:rFonts w:hint="eastAsia" w:ascii="仿宋_GB2312" w:hAnsi="仿宋" w:eastAsia="仿宋_GB2312"/>
          <w:sz w:val="32"/>
          <w:szCs w:val="32"/>
          <w:u w:val="single"/>
        </w:rPr>
        <w:t>《劳动保障监察条例》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>第三十条第一款第三项、《山东省人力资源和社会保障系统行政处罚裁量基准》第53项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的规定，决定对你（单位）作出以下行政处罚：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>罚款人民币壹萬元整（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￥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>10000.00）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60ACE7AB">
      <w:pPr>
        <w:pStyle w:val="5"/>
        <w:adjustRightInd w:val="0"/>
        <w:snapToGrid w:val="0"/>
        <w:spacing w:line="530" w:lineRule="exact"/>
        <w:ind w:firstLine="640" w:firstLineChars="200"/>
        <w:jc w:val="both"/>
        <w:rPr>
          <w:rFonts w:hint="eastAsia" w:ascii="仿宋_GB2312" w:hAnsi="宋体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履行方式和期限：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u w:val="none"/>
          <w:lang w:val="en-US" w:eastAsia="zh-CN" w:bidi="ar-SA"/>
        </w:rPr>
        <w:t>根据《</w:t>
      </w:r>
      <w:r>
        <w:rPr>
          <w:rFonts w:hint="eastAsia" w:ascii="仿宋_GB2312" w:hAnsi="仿宋" w:eastAsia="仿宋_GB2312"/>
          <w:sz w:val="32"/>
          <w:u w:val="none"/>
          <w:lang w:val="en-US" w:eastAsia="zh-CN"/>
        </w:rPr>
        <w:t>中华人民共和国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u w:val="none"/>
          <w:lang w:val="en-US" w:eastAsia="zh-CN" w:bidi="ar-SA"/>
        </w:rPr>
        <w:t>行政处罚法》第六十七条第三款规定，当事人应当自收到本行政处罚决定书之日起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u w:val="single"/>
          <w:lang w:val="en-US" w:eastAsia="zh-CN" w:bidi="ar-SA"/>
        </w:rPr>
        <w:t>十五日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u w:val="none"/>
          <w:lang w:val="en-US" w:eastAsia="zh-CN" w:bidi="ar-SA"/>
        </w:rPr>
        <w:t>内到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u w:val="single"/>
          <w:lang w:val="en-US" w:eastAsia="zh-CN" w:bidi="ar-SA"/>
        </w:rPr>
        <w:t>淄博高新区天鸿路36号综合执法局办公楼311室办理缴纳罚款手续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u w:val="none"/>
          <w:lang w:val="en-US" w:eastAsia="zh-CN" w:bidi="ar-SA"/>
        </w:rPr>
        <w:t>并到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u w:val="single"/>
          <w:lang w:val="en-US" w:eastAsia="zh-CN" w:bidi="ar-SA"/>
        </w:rPr>
        <w:t>指定的银行或者通过电子支付系统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u w:val="none"/>
          <w:lang w:val="en-US" w:eastAsia="zh-CN" w:bidi="ar-SA"/>
        </w:rPr>
        <w:t>缴纳罚款，</w:t>
      </w:r>
    </w:p>
    <w:p w14:paraId="2F435F81">
      <w:pPr>
        <w:pStyle w:val="5"/>
        <w:adjustRightInd w:val="0"/>
        <w:snapToGrid w:val="0"/>
        <w:spacing w:line="53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Times New Roman"/>
          <w:kern w:val="2"/>
          <w:sz w:val="32"/>
          <w:szCs w:val="32"/>
          <w:u w:val="none"/>
          <w:lang w:val="en-US" w:eastAsia="zh-CN" w:bidi="ar-SA"/>
        </w:rPr>
        <w:t>到期不缴纳的，根据《</w:t>
      </w:r>
      <w:r>
        <w:rPr>
          <w:rFonts w:hint="eastAsia" w:ascii="仿宋_GB2312" w:hAnsi="仿宋" w:eastAsia="仿宋_GB2312"/>
          <w:sz w:val="32"/>
          <w:u w:val="none"/>
          <w:lang w:val="en-US" w:eastAsia="zh-CN"/>
        </w:rPr>
        <w:t>中华人民共和国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u w:val="none"/>
          <w:lang w:val="en-US" w:eastAsia="zh-CN" w:bidi="ar-SA"/>
        </w:rPr>
        <w:t>行政处罚法》第七十二条第一项规定，每日按罚款数额的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u w:val="single"/>
          <w:lang w:val="en-US" w:eastAsia="zh-CN" w:bidi="ar-SA"/>
        </w:rPr>
        <w:t xml:space="preserve"> </w:t>
      </w:r>
      <w:r>
        <w:rPr>
          <w:rFonts w:hint="eastAsia" w:ascii="仿宋_GB2312" w:hAnsi="宋体" w:eastAsia="仿宋_GB2312" w:cs="Times New Roman"/>
          <w:b w:val="0"/>
          <w:bCs w:val="0"/>
          <w:kern w:val="2"/>
          <w:sz w:val="32"/>
          <w:szCs w:val="32"/>
          <w:u w:val="single"/>
          <w:lang w:val="en-US" w:eastAsia="zh-CN" w:bidi="ar-SA"/>
        </w:rPr>
        <w:t>3%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u w:val="single"/>
          <w:lang w:val="en-US" w:eastAsia="zh-CN" w:bidi="ar-SA"/>
        </w:rPr>
        <w:t xml:space="preserve"> 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u w:val="none"/>
          <w:lang w:val="en-US" w:eastAsia="zh-CN" w:bidi="ar-SA"/>
        </w:rPr>
        <w:t>加处罚款。</w:t>
      </w:r>
    </w:p>
    <w:p w14:paraId="29F1A735">
      <w:pPr>
        <w:pStyle w:val="5"/>
        <w:adjustRightInd w:val="0"/>
        <w:snapToGrid w:val="0"/>
        <w:spacing w:line="53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如对本通知不服，可自收到本通知书之日起六十日内，依法向</w:t>
      </w:r>
      <w:r>
        <w:rPr>
          <w:rFonts w:hint="eastAsia" w:ascii="仿宋_GB2312" w:hAnsi="仿宋" w:eastAsia="仿宋_GB2312"/>
          <w:sz w:val="32"/>
          <w:u w:val="single"/>
        </w:rPr>
        <w:t>山东省人民政府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申请行政复议或自收到本通知书之日起六个</w:t>
      </w:r>
    </w:p>
    <w:p w14:paraId="7278E2CB">
      <w:pPr>
        <w:pStyle w:val="5"/>
        <w:adjustRightInd w:val="0"/>
        <w:snapToGrid w:val="0"/>
        <w:spacing w:line="53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E8C2649">
      <w:pPr>
        <w:pStyle w:val="5"/>
        <w:adjustRightInd w:val="0"/>
        <w:snapToGrid w:val="0"/>
        <w:spacing w:line="53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p w14:paraId="657C46E7">
      <w:pPr>
        <w:pStyle w:val="5"/>
        <w:adjustRightInd w:val="0"/>
        <w:snapToGrid w:val="0"/>
        <w:spacing w:line="530" w:lineRule="exact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月内直接向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淄博市中级人民法院或其指定管辖法院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提起行政诉讼。逾期不申请复议，也不向人民法院起诉，又不履行本处罚决定，本机关将依法强制执行或申请人民法院强制执行。</w:t>
      </w:r>
    </w:p>
    <w:p w14:paraId="5257683C">
      <w:pPr>
        <w:pStyle w:val="5"/>
        <w:adjustRightInd w:val="0"/>
        <w:snapToGrid w:val="0"/>
        <w:spacing w:line="530" w:lineRule="exact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5C57685">
      <w:pPr>
        <w:pStyle w:val="5"/>
        <w:wordWrap w:val="0"/>
        <w:adjustRightInd w:val="0"/>
        <w:snapToGrid w:val="0"/>
        <w:spacing w:line="530" w:lineRule="exact"/>
        <w:jc w:val="right"/>
        <w:rPr>
          <w:rFonts w:hint="eastAsia" w:ascii="仿宋_GB2312" w:hAnsi="仿宋" w:eastAsia="仿宋_GB2312"/>
          <w:sz w:val="32"/>
        </w:rPr>
      </w:pPr>
    </w:p>
    <w:p w14:paraId="1E3CA5C0">
      <w:pPr>
        <w:pStyle w:val="5"/>
        <w:wordWrap w:val="0"/>
        <w:adjustRightInd w:val="0"/>
        <w:snapToGrid w:val="0"/>
        <w:spacing w:line="530" w:lineRule="exact"/>
        <w:jc w:val="righ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sz w:val="32"/>
        </w:rPr>
        <w:t>淄博高新技术产业开发区管理委员会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</w:p>
    <w:p w14:paraId="30A62CB0">
      <w:pPr>
        <w:ind w:firstLine="4800" w:firstLineChars="15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73A5EEFE">
      <w:pPr>
        <w:spacing w:line="0" w:lineRule="atLeast"/>
        <w:jc w:val="center"/>
        <w:rPr>
          <w:rFonts w:hint="eastAsia"/>
          <w:b/>
          <w:bCs/>
          <w:sz w:val="44"/>
        </w:rPr>
        <w:sectPr>
          <w:footerReference r:id="rId3" w:type="default"/>
          <w:pgSz w:w="11906" w:h="16838"/>
          <w:pgMar w:top="1701" w:right="1474" w:bottom="1701" w:left="1474" w:header="851" w:footer="992" w:gutter="0"/>
          <w:pgNumType w:fmt="decimal"/>
          <w:cols w:space="425" w:num="1"/>
          <w:docGrid w:type="lines" w:linePitch="312" w:charSpace="0"/>
        </w:sectPr>
      </w:pPr>
    </w:p>
    <w:p w14:paraId="1216B70E">
      <w:pPr>
        <w:spacing w:line="0" w:lineRule="atLeast"/>
        <w:jc w:val="center"/>
        <w:rPr>
          <w:rFonts w:hint="eastAsia"/>
          <w:b/>
          <w:bCs/>
          <w:sz w:val="44"/>
        </w:rPr>
      </w:pPr>
      <w:r>
        <w:rPr>
          <w:rFonts w:hint="eastAsia"/>
          <w:b/>
          <w:bCs/>
          <w:sz w:val="44"/>
        </w:rPr>
        <w:t>法律文书送达回证</w:t>
      </w:r>
    </w:p>
    <w:p w14:paraId="244CCC3E">
      <w:pPr>
        <w:spacing w:line="0" w:lineRule="atLeast"/>
        <w:rPr>
          <w:rFonts w:hint="eastAsia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9"/>
        <w:gridCol w:w="6811"/>
      </w:tblGrid>
      <w:tr w14:paraId="0958B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224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756E57E">
            <w:pPr>
              <w:spacing w:line="0" w:lineRule="atLeast"/>
              <w:jc w:val="center"/>
              <w:rPr>
                <w:rFonts w:hint="eastAsia" w:ascii="仿宋_GB2312" w:hAnsi="仿宋" w:eastAsia="仿宋_GB2312"/>
                <w:sz w:val="32"/>
              </w:rPr>
            </w:pPr>
            <w:r>
              <w:rPr>
                <w:rFonts w:hint="eastAsia" w:ascii="仿宋_GB2312" w:hAnsi="仿宋" w:eastAsia="仿宋_GB2312"/>
                <w:sz w:val="32"/>
              </w:rPr>
              <w:t>送达文书</w:t>
            </w:r>
          </w:p>
          <w:p w14:paraId="3F0E839F">
            <w:pPr>
              <w:spacing w:line="0" w:lineRule="atLeast"/>
              <w:jc w:val="center"/>
              <w:rPr>
                <w:rFonts w:hint="eastAsia" w:ascii="仿宋_GB2312" w:hAnsi="仿宋" w:eastAsia="仿宋_GB2312"/>
                <w:sz w:val="32"/>
              </w:rPr>
            </w:pPr>
            <w:r>
              <w:rPr>
                <w:rFonts w:hint="eastAsia" w:ascii="仿宋_GB2312" w:hAnsi="仿宋" w:eastAsia="仿宋_GB2312"/>
                <w:sz w:val="32"/>
              </w:rPr>
              <w:t>名称及编号</w:t>
            </w:r>
          </w:p>
        </w:tc>
        <w:tc>
          <w:tcPr>
            <w:tcW w:w="681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8045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/>
                <w:sz w:val="44"/>
              </w:rPr>
            </w:pPr>
            <w:r>
              <w:rPr>
                <w:rFonts w:hint="eastAsia" w:ascii="宋体" w:hAnsi="宋体"/>
                <w:b/>
                <w:bCs/>
                <w:sz w:val="44"/>
              </w:rPr>
              <w:t>行政处罚决定书</w:t>
            </w:r>
          </w:p>
          <w:p w14:paraId="64D9C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/>
              <w:jc w:val="center"/>
              <w:textAlignment w:val="auto"/>
              <w:rPr>
                <w:rFonts w:hint="eastAsia" w:ascii="宋体" w:hAnsi="宋体"/>
                <w:b/>
                <w:bCs/>
                <w:sz w:val="44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淄高新管</w:t>
            </w: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综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执</w:t>
            </w: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罚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字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〔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2024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〕第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0020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号</w:t>
            </w:r>
          </w:p>
        </w:tc>
      </w:tr>
      <w:tr w14:paraId="4004A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2249" w:type="dxa"/>
            <w:tcBorders>
              <w:left w:val="single" w:color="auto" w:sz="12" w:space="0"/>
            </w:tcBorders>
            <w:vAlign w:val="center"/>
          </w:tcPr>
          <w:p w14:paraId="1B848FAC">
            <w:pPr>
              <w:jc w:val="center"/>
              <w:rPr>
                <w:rFonts w:hint="eastAsia" w:ascii="仿宋_GB2312" w:hAnsi="仿宋" w:eastAsia="仿宋_GB2312"/>
                <w:sz w:val="32"/>
              </w:rPr>
            </w:pPr>
            <w:r>
              <w:rPr>
                <w:rFonts w:hint="eastAsia" w:ascii="仿宋_GB2312" w:hAnsi="仿宋" w:eastAsia="仿宋_GB2312"/>
                <w:sz w:val="32"/>
              </w:rPr>
              <w:t>受送达人</w:t>
            </w:r>
          </w:p>
        </w:tc>
        <w:tc>
          <w:tcPr>
            <w:tcW w:w="6811" w:type="dxa"/>
            <w:tcBorders>
              <w:right w:val="single" w:color="auto" w:sz="12" w:space="0"/>
            </w:tcBorders>
            <w:vAlign w:val="center"/>
          </w:tcPr>
          <w:p w14:paraId="315C9881">
            <w:pPr>
              <w:jc w:val="center"/>
              <w:rPr>
                <w:rFonts w:hint="eastAsia" w:ascii="仿宋_GB2312" w:hAnsi="仿宋" w:eastAsia="仿宋_GB2312"/>
                <w:sz w:val="32"/>
              </w:rPr>
            </w:pPr>
            <w:r>
              <w:rPr>
                <w:rFonts w:hint="eastAsia" w:ascii="仿宋_GB2312" w:hAnsi="仿宋" w:eastAsia="仿宋_GB2312"/>
                <w:sz w:val="32"/>
              </w:rPr>
              <w:t>山东恒泰光电科技有限公司</w:t>
            </w:r>
          </w:p>
          <w:p w14:paraId="256F8564">
            <w:pPr>
              <w:jc w:val="center"/>
              <w:rPr>
                <w:rFonts w:hint="eastAsia" w:ascii="仿宋_GB2312" w:hAnsi="仿宋" w:eastAsia="仿宋_GB2312"/>
                <w:sz w:val="32"/>
              </w:rPr>
            </w:pPr>
            <w:r>
              <w:rPr>
                <w:rFonts w:hint="eastAsia" w:ascii="仿宋_GB2312" w:hAnsi="仿宋" w:eastAsia="仿宋_GB2312"/>
                <w:sz w:val="32"/>
              </w:rPr>
              <w:t>（统一社会信用代码：</w:t>
            </w:r>
            <w:r>
              <w:rPr>
                <w:rFonts w:hint="eastAsia" w:ascii="仿宋_GB2312" w:hAnsi="仿宋" w:eastAsia="仿宋_GB2312"/>
                <w:sz w:val="32"/>
                <w:lang w:val="en-US" w:eastAsia="zh-CN"/>
              </w:rPr>
              <w:t>91370303348955377B</w:t>
            </w:r>
            <w:r>
              <w:rPr>
                <w:rFonts w:hint="eastAsia" w:ascii="仿宋_GB2312" w:hAnsi="仿宋" w:eastAsia="仿宋_GB2312"/>
                <w:sz w:val="32"/>
              </w:rPr>
              <w:t>）</w:t>
            </w:r>
          </w:p>
        </w:tc>
      </w:tr>
      <w:tr w14:paraId="111BF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2249" w:type="dxa"/>
            <w:tcBorders>
              <w:left w:val="single" w:color="auto" w:sz="12" w:space="0"/>
            </w:tcBorders>
            <w:vAlign w:val="center"/>
          </w:tcPr>
          <w:p w14:paraId="30DE7637">
            <w:pPr>
              <w:jc w:val="center"/>
              <w:rPr>
                <w:rFonts w:hint="eastAsia" w:ascii="仿宋_GB2312" w:hAnsi="仿宋" w:eastAsia="仿宋_GB2312"/>
                <w:sz w:val="32"/>
              </w:rPr>
            </w:pPr>
            <w:r>
              <w:rPr>
                <w:rFonts w:hint="eastAsia" w:ascii="仿宋_GB2312" w:hAnsi="仿宋" w:eastAsia="仿宋_GB2312"/>
                <w:sz w:val="32"/>
              </w:rPr>
              <w:t>送达地址</w:t>
            </w:r>
          </w:p>
        </w:tc>
        <w:tc>
          <w:tcPr>
            <w:tcW w:w="6811" w:type="dxa"/>
            <w:tcBorders>
              <w:right w:val="single" w:color="auto" w:sz="12" w:space="0"/>
            </w:tcBorders>
            <w:vAlign w:val="center"/>
          </w:tcPr>
          <w:p w14:paraId="45E911BA">
            <w:pPr>
              <w:jc w:val="center"/>
              <w:rPr>
                <w:rFonts w:hint="eastAsia" w:ascii="仿宋_GB2312" w:hAnsi="仿宋" w:eastAsia="仿宋_GB2312"/>
                <w:sz w:val="32"/>
              </w:rPr>
            </w:pPr>
          </w:p>
        </w:tc>
      </w:tr>
      <w:tr w14:paraId="5925B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0" w:hRule="atLeast"/>
          <w:jc w:val="center"/>
        </w:trPr>
        <w:tc>
          <w:tcPr>
            <w:tcW w:w="2249" w:type="dxa"/>
            <w:tcBorders>
              <w:left w:val="single" w:color="auto" w:sz="12" w:space="0"/>
            </w:tcBorders>
            <w:vAlign w:val="center"/>
          </w:tcPr>
          <w:p w14:paraId="3FD24AC2">
            <w:pPr>
              <w:jc w:val="center"/>
              <w:rPr>
                <w:rFonts w:hint="eastAsia" w:ascii="仿宋_GB2312" w:hAnsi="仿宋" w:eastAsia="仿宋_GB2312"/>
                <w:sz w:val="32"/>
              </w:rPr>
            </w:pPr>
            <w:r>
              <w:rPr>
                <w:rFonts w:hint="eastAsia" w:ascii="仿宋_GB2312" w:hAnsi="仿宋" w:eastAsia="仿宋_GB2312"/>
                <w:sz w:val="32"/>
              </w:rPr>
              <w:t>送达方式</w:t>
            </w:r>
          </w:p>
        </w:tc>
        <w:tc>
          <w:tcPr>
            <w:tcW w:w="6811" w:type="dxa"/>
            <w:tcBorders>
              <w:right w:val="single" w:color="auto" w:sz="12" w:space="0"/>
            </w:tcBorders>
            <w:vAlign w:val="center"/>
          </w:tcPr>
          <w:p w14:paraId="24CF15E0">
            <w:pPr>
              <w:jc w:val="center"/>
              <w:rPr>
                <w:rFonts w:hint="eastAsia" w:ascii="仿宋_GB2312" w:hAnsi="仿宋" w:eastAsia="仿宋_GB2312"/>
                <w:sz w:val="32"/>
              </w:rPr>
            </w:pPr>
          </w:p>
        </w:tc>
      </w:tr>
      <w:tr w14:paraId="2AFF9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1" w:hRule="atLeast"/>
          <w:jc w:val="center"/>
        </w:trPr>
        <w:tc>
          <w:tcPr>
            <w:tcW w:w="2249" w:type="dxa"/>
            <w:tcBorders>
              <w:left w:val="single" w:color="auto" w:sz="12" w:space="0"/>
            </w:tcBorders>
            <w:vAlign w:val="center"/>
          </w:tcPr>
          <w:p w14:paraId="76E1B649">
            <w:pPr>
              <w:spacing w:line="0" w:lineRule="atLeast"/>
              <w:jc w:val="center"/>
              <w:rPr>
                <w:rFonts w:hint="eastAsia" w:ascii="仿宋_GB2312" w:hAnsi="仿宋" w:eastAsia="仿宋_GB2312"/>
                <w:sz w:val="32"/>
              </w:rPr>
            </w:pPr>
            <w:r>
              <w:rPr>
                <w:rFonts w:hint="eastAsia" w:ascii="仿宋_GB2312" w:hAnsi="仿宋" w:eastAsia="仿宋_GB2312"/>
                <w:sz w:val="32"/>
              </w:rPr>
              <w:t>受送达人</w:t>
            </w:r>
          </w:p>
          <w:p w14:paraId="6E59607F">
            <w:pPr>
              <w:spacing w:line="0" w:lineRule="atLeast"/>
              <w:jc w:val="center"/>
              <w:rPr>
                <w:rFonts w:hint="eastAsia" w:ascii="仿宋_GB2312" w:hAnsi="仿宋" w:eastAsia="仿宋_GB2312"/>
                <w:sz w:val="32"/>
              </w:rPr>
            </w:pPr>
            <w:r>
              <w:rPr>
                <w:rFonts w:hint="eastAsia" w:ascii="仿宋_GB2312" w:hAnsi="仿宋" w:eastAsia="仿宋_GB2312"/>
                <w:sz w:val="32"/>
              </w:rPr>
              <w:t>签名或盖章</w:t>
            </w:r>
          </w:p>
        </w:tc>
        <w:tc>
          <w:tcPr>
            <w:tcW w:w="6811" w:type="dxa"/>
            <w:tcBorders>
              <w:right w:val="single" w:color="auto" w:sz="12" w:space="0"/>
            </w:tcBorders>
            <w:vAlign w:val="bottom"/>
          </w:tcPr>
          <w:p w14:paraId="696A2B0C">
            <w:pPr>
              <w:jc w:val="right"/>
              <w:rPr>
                <w:rFonts w:hint="eastAsia" w:ascii="仿宋_GB2312" w:hAnsi="仿宋" w:eastAsia="仿宋_GB2312"/>
                <w:sz w:val="32"/>
              </w:rPr>
            </w:pPr>
          </w:p>
          <w:p w14:paraId="2EE2D41B">
            <w:pPr>
              <w:jc w:val="right"/>
              <w:rPr>
                <w:rFonts w:hint="eastAsia" w:ascii="仿宋_GB2312" w:hAnsi="仿宋" w:eastAsia="仿宋_GB2312"/>
                <w:sz w:val="32"/>
              </w:rPr>
            </w:pPr>
            <w:r>
              <w:rPr>
                <w:rFonts w:hint="eastAsia" w:ascii="仿宋_GB2312" w:hAnsi="仿宋" w:eastAsia="仿宋_GB2312"/>
                <w:sz w:val="32"/>
              </w:rPr>
              <w:t>年   月   日</w:t>
            </w:r>
          </w:p>
        </w:tc>
      </w:tr>
      <w:tr w14:paraId="35550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8" w:hRule="atLeast"/>
          <w:jc w:val="center"/>
        </w:trPr>
        <w:tc>
          <w:tcPr>
            <w:tcW w:w="2249" w:type="dxa"/>
            <w:tcBorders>
              <w:left w:val="single" w:color="auto" w:sz="12" w:space="0"/>
            </w:tcBorders>
            <w:vAlign w:val="center"/>
          </w:tcPr>
          <w:p w14:paraId="4FF35CDE">
            <w:pPr>
              <w:jc w:val="center"/>
              <w:rPr>
                <w:rFonts w:hint="eastAsia" w:ascii="仿宋_GB2312" w:hAnsi="仿宋" w:eastAsia="仿宋_GB2312"/>
                <w:sz w:val="32"/>
              </w:rPr>
            </w:pPr>
            <w:r>
              <w:rPr>
                <w:rFonts w:hint="eastAsia" w:ascii="仿宋_GB2312" w:hAnsi="仿宋" w:eastAsia="仿宋_GB2312"/>
                <w:sz w:val="32"/>
              </w:rPr>
              <w:t>送达人签字</w:t>
            </w:r>
          </w:p>
        </w:tc>
        <w:tc>
          <w:tcPr>
            <w:tcW w:w="6811" w:type="dxa"/>
            <w:tcBorders>
              <w:right w:val="single" w:color="auto" w:sz="12" w:space="0"/>
            </w:tcBorders>
            <w:vAlign w:val="bottom"/>
          </w:tcPr>
          <w:p w14:paraId="3BE1A2D2">
            <w:pPr>
              <w:jc w:val="right"/>
              <w:rPr>
                <w:rFonts w:hint="eastAsia" w:ascii="仿宋_GB2312" w:hAnsi="仿宋" w:eastAsia="仿宋_GB2312"/>
                <w:sz w:val="32"/>
              </w:rPr>
            </w:pPr>
            <w:r>
              <w:rPr>
                <w:rFonts w:hint="eastAsia" w:ascii="仿宋_GB2312" w:hAnsi="仿宋" w:eastAsia="仿宋_GB2312"/>
                <w:sz w:val="32"/>
              </w:rPr>
              <w:t>年   月   日</w:t>
            </w:r>
          </w:p>
        </w:tc>
      </w:tr>
      <w:tr w14:paraId="3327A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0" w:hRule="atLeast"/>
          <w:jc w:val="center"/>
        </w:trPr>
        <w:tc>
          <w:tcPr>
            <w:tcW w:w="2249" w:type="dxa"/>
            <w:tcBorders>
              <w:left w:val="single" w:color="auto" w:sz="12" w:space="0"/>
            </w:tcBorders>
            <w:vAlign w:val="center"/>
          </w:tcPr>
          <w:p w14:paraId="7D9DCDE2">
            <w:pPr>
              <w:spacing w:line="0" w:lineRule="atLeast"/>
              <w:jc w:val="center"/>
              <w:rPr>
                <w:rFonts w:hint="eastAsia" w:ascii="仿宋_GB2312" w:hAnsi="仿宋" w:eastAsia="仿宋_GB2312"/>
                <w:sz w:val="32"/>
              </w:rPr>
            </w:pPr>
            <w:r>
              <w:rPr>
                <w:rFonts w:hint="eastAsia" w:ascii="仿宋_GB2312" w:hAnsi="仿宋" w:eastAsia="仿宋_GB2312"/>
                <w:sz w:val="32"/>
              </w:rPr>
              <w:t>代收人及</w:t>
            </w:r>
          </w:p>
          <w:p w14:paraId="21E0E7DF">
            <w:pPr>
              <w:spacing w:line="0" w:lineRule="atLeast"/>
              <w:jc w:val="center"/>
              <w:rPr>
                <w:rFonts w:hint="eastAsia" w:ascii="仿宋_GB2312" w:hAnsi="仿宋" w:eastAsia="仿宋_GB2312"/>
                <w:sz w:val="32"/>
              </w:rPr>
            </w:pPr>
            <w:r>
              <w:rPr>
                <w:rFonts w:hint="eastAsia" w:ascii="仿宋_GB2312" w:hAnsi="仿宋" w:eastAsia="仿宋_GB2312"/>
                <w:sz w:val="32"/>
              </w:rPr>
              <w:t>代收理由</w:t>
            </w:r>
          </w:p>
        </w:tc>
        <w:tc>
          <w:tcPr>
            <w:tcW w:w="6811" w:type="dxa"/>
            <w:tcBorders>
              <w:right w:val="single" w:color="auto" w:sz="12" w:space="0"/>
            </w:tcBorders>
            <w:vAlign w:val="bottom"/>
          </w:tcPr>
          <w:p w14:paraId="6A2351B3">
            <w:pPr>
              <w:jc w:val="right"/>
              <w:rPr>
                <w:rFonts w:hint="eastAsia" w:ascii="仿宋_GB2312" w:hAnsi="仿宋" w:eastAsia="仿宋_GB2312"/>
                <w:sz w:val="32"/>
              </w:rPr>
            </w:pPr>
            <w:r>
              <w:rPr>
                <w:rFonts w:hint="eastAsia" w:ascii="仿宋_GB2312" w:hAnsi="仿宋" w:eastAsia="仿宋_GB2312"/>
                <w:sz w:val="32"/>
              </w:rPr>
              <w:t>年   月   日</w:t>
            </w:r>
          </w:p>
        </w:tc>
      </w:tr>
      <w:tr w14:paraId="05DFC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0" w:hRule="atLeast"/>
          <w:jc w:val="center"/>
        </w:trPr>
        <w:tc>
          <w:tcPr>
            <w:tcW w:w="2249" w:type="dxa"/>
            <w:tcBorders>
              <w:left w:val="single" w:color="auto" w:sz="12" w:space="0"/>
            </w:tcBorders>
            <w:vAlign w:val="center"/>
          </w:tcPr>
          <w:p w14:paraId="5CB7F3A0">
            <w:pPr>
              <w:spacing w:line="0" w:lineRule="atLeast"/>
              <w:jc w:val="center"/>
              <w:rPr>
                <w:rFonts w:hint="eastAsia" w:ascii="仿宋_GB2312" w:hAnsi="仿宋" w:eastAsia="仿宋_GB2312"/>
                <w:sz w:val="32"/>
              </w:rPr>
            </w:pPr>
            <w:r>
              <w:rPr>
                <w:rFonts w:hint="eastAsia" w:ascii="仿宋_GB2312" w:hAnsi="仿宋" w:eastAsia="仿宋_GB2312"/>
                <w:sz w:val="32"/>
              </w:rPr>
              <w:t>见证人</w:t>
            </w:r>
          </w:p>
          <w:p w14:paraId="0782AA61">
            <w:pPr>
              <w:spacing w:line="0" w:lineRule="atLeast"/>
              <w:jc w:val="center"/>
              <w:rPr>
                <w:rFonts w:hint="eastAsia" w:ascii="仿宋_GB2312" w:hAnsi="仿宋" w:eastAsia="仿宋_GB2312"/>
                <w:sz w:val="32"/>
              </w:rPr>
            </w:pPr>
            <w:r>
              <w:rPr>
                <w:rFonts w:hint="eastAsia" w:ascii="仿宋_GB2312" w:hAnsi="仿宋" w:eastAsia="仿宋_GB2312"/>
                <w:sz w:val="32"/>
              </w:rPr>
              <w:t>签名或盖章</w:t>
            </w:r>
          </w:p>
        </w:tc>
        <w:tc>
          <w:tcPr>
            <w:tcW w:w="6811" w:type="dxa"/>
            <w:tcBorders>
              <w:right w:val="single" w:color="auto" w:sz="12" w:space="0"/>
            </w:tcBorders>
            <w:vAlign w:val="bottom"/>
          </w:tcPr>
          <w:p w14:paraId="5567D610">
            <w:pPr>
              <w:jc w:val="right"/>
              <w:rPr>
                <w:rFonts w:hint="eastAsia" w:ascii="仿宋_GB2312" w:hAnsi="仿宋" w:eastAsia="仿宋_GB2312"/>
                <w:sz w:val="32"/>
              </w:rPr>
            </w:pPr>
            <w:r>
              <w:rPr>
                <w:rFonts w:hint="eastAsia" w:ascii="仿宋_GB2312" w:hAnsi="仿宋" w:eastAsia="仿宋_GB2312"/>
                <w:sz w:val="32"/>
              </w:rPr>
              <w:t>年   月   日</w:t>
            </w:r>
          </w:p>
        </w:tc>
      </w:tr>
      <w:tr w14:paraId="3CC24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2" w:hRule="atLeast"/>
          <w:jc w:val="center"/>
        </w:trPr>
        <w:tc>
          <w:tcPr>
            <w:tcW w:w="2249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B7A626">
            <w:pPr>
              <w:jc w:val="center"/>
              <w:rPr>
                <w:rFonts w:hint="eastAsia" w:ascii="仿宋_GB2312" w:hAnsi="仿宋" w:eastAsia="仿宋_GB2312"/>
                <w:sz w:val="32"/>
              </w:rPr>
            </w:pPr>
            <w:r>
              <w:rPr>
                <w:rFonts w:hint="eastAsia" w:ascii="仿宋_GB2312" w:hAnsi="仿宋" w:eastAsia="仿宋_GB2312"/>
                <w:sz w:val="32"/>
              </w:rPr>
              <w:t>备  注</w:t>
            </w:r>
          </w:p>
        </w:tc>
        <w:tc>
          <w:tcPr>
            <w:tcW w:w="681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421932">
            <w:pPr>
              <w:jc w:val="center"/>
              <w:rPr>
                <w:rFonts w:hint="eastAsia" w:ascii="仿宋_GB2312" w:hAnsi="仿宋" w:eastAsia="仿宋_GB2312"/>
                <w:sz w:val="32"/>
              </w:rPr>
            </w:pPr>
          </w:p>
        </w:tc>
      </w:tr>
    </w:tbl>
    <w:p w14:paraId="0FDC8D3D">
      <w:pPr>
        <w:pStyle w:val="5"/>
        <w:rPr>
          <w:rFonts w:hint="eastAsia"/>
        </w:rPr>
      </w:pPr>
    </w:p>
    <w:sectPr>
      <w:footerReference r:id="rId4" w:type="default"/>
      <w:pgSz w:w="11906" w:h="16838"/>
      <w:pgMar w:top="1701" w:right="1474" w:bottom="1701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80AD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7E4CD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2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D7E4CD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2</w:t>
                    </w:r>
                    <w: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CC17A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0MzY2ZTQ3ZDU5MmFiN2ZiMDU2YTRiYzU1MTUyNjcifQ=="/>
  </w:docVars>
  <w:rsids>
    <w:rsidRoot w:val="3DF56BB6"/>
    <w:rsid w:val="0041222F"/>
    <w:rsid w:val="02C65044"/>
    <w:rsid w:val="07971403"/>
    <w:rsid w:val="090C0F64"/>
    <w:rsid w:val="09CE21F6"/>
    <w:rsid w:val="0B720A85"/>
    <w:rsid w:val="0C0A63CF"/>
    <w:rsid w:val="0D154302"/>
    <w:rsid w:val="0FEA3E2B"/>
    <w:rsid w:val="101B45FA"/>
    <w:rsid w:val="136B2768"/>
    <w:rsid w:val="1543514C"/>
    <w:rsid w:val="15763AC2"/>
    <w:rsid w:val="1BA323E9"/>
    <w:rsid w:val="1C7F7021"/>
    <w:rsid w:val="1C816553"/>
    <w:rsid w:val="1D9B423D"/>
    <w:rsid w:val="1E133467"/>
    <w:rsid w:val="20A830A0"/>
    <w:rsid w:val="219C6341"/>
    <w:rsid w:val="274C4E88"/>
    <w:rsid w:val="27C94452"/>
    <w:rsid w:val="2BA20325"/>
    <w:rsid w:val="2C6B1F6C"/>
    <w:rsid w:val="35BB6E36"/>
    <w:rsid w:val="3DF56BB6"/>
    <w:rsid w:val="3EE232A1"/>
    <w:rsid w:val="44357175"/>
    <w:rsid w:val="455D245B"/>
    <w:rsid w:val="465E7A7F"/>
    <w:rsid w:val="46ED18ED"/>
    <w:rsid w:val="4C88631A"/>
    <w:rsid w:val="50327120"/>
    <w:rsid w:val="54297BF9"/>
    <w:rsid w:val="54FB4AFB"/>
    <w:rsid w:val="56D20E7E"/>
    <w:rsid w:val="572A2ED5"/>
    <w:rsid w:val="5B092532"/>
    <w:rsid w:val="5BF63A6F"/>
    <w:rsid w:val="5C7F0150"/>
    <w:rsid w:val="624F75D6"/>
    <w:rsid w:val="66342E42"/>
    <w:rsid w:val="66BD7A81"/>
    <w:rsid w:val="6FA43036"/>
    <w:rsid w:val="74F160B9"/>
    <w:rsid w:val="7511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1"/>
    <w:pPr>
      <w:adjustRightInd w:val="0"/>
      <w:snapToGrid w:val="0"/>
      <w:spacing w:before="150" w:beforeLines="150" w:after="150" w:afterLines="150" w:line="600" w:lineRule="exact"/>
      <w:jc w:val="center"/>
      <w:outlineLvl w:val="0"/>
    </w:pPr>
    <w:rPr>
      <w:rFonts w:ascii="方正小标宋简体" w:hAnsi="方正小标宋简体" w:eastAsia="方正小标宋简体"/>
      <w:sz w:val="44"/>
      <w:szCs w:val="44"/>
    </w:rPr>
  </w:style>
  <w:style w:type="paragraph" w:styleId="3">
    <w:name w:val="heading 2"/>
    <w:basedOn w:val="1"/>
    <w:next w:val="1"/>
    <w:autoRedefine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paragraph" w:styleId="4">
    <w:name w:val="heading 4"/>
    <w:basedOn w:val="1"/>
    <w:next w:val="1"/>
    <w:autoRedefine/>
    <w:qFormat/>
    <w:uiPriority w:val="1"/>
    <w:pPr>
      <w:outlineLvl w:val="3"/>
    </w:pPr>
    <w:rPr>
      <w:rFonts w:ascii="Microsoft YaHei UI" w:hAnsi="Microsoft YaHei UI" w:eastAsia="Microsoft YaHei UI" w:cs="Microsoft YaHei UI"/>
      <w:b/>
      <w:bCs/>
      <w:sz w:val="24"/>
      <w:szCs w:val="24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autoRedefine/>
    <w:qFormat/>
    <w:uiPriority w:val="1"/>
    <w:rPr>
      <w:sz w:val="24"/>
      <w:szCs w:val="24"/>
    </w:r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WPSOffice手动目录 1"/>
    <w:autoRedefine/>
    <w:qFormat/>
    <w:uiPriority w:val="0"/>
    <w:rPr>
      <w:rFonts w:asciiTheme="minorHAnsi" w:hAnsiTheme="minorHAnsi" w:eastAsiaTheme="minorHAnsi" w:cstheme="minorBidi"/>
      <w:lang w:val="en-US" w:eastAsia="zh-CN" w:bidi="ar-SA"/>
    </w:rPr>
  </w:style>
  <w:style w:type="paragraph" w:customStyle="1" w:styleId="12">
    <w:name w:val="Table Paragraph"/>
    <w:basedOn w:val="1"/>
    <w:autoRedefine/>
    <w:qFormat/>
    <w:uiPriority w:val="1"/>
  </w:style>
  <w:style w:type="paragraph" w:styleId="13">
    <w:name w:val="List Paragraph"/>
    <w:basedOn w:val="1"/>
    <w:autoRedefine/>
    <w:qFormat/>
    <w:uiPriority w:val="1"/>
    <w:pPr>
      <w:spacing w:before="112"/>
      <w:ind w:left="1694" w:hanging="302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767</Words>
  <Characters>852</Characters>
  <Lines>0</Lines>
  <Paragraphs>0</Paragraphs>
  <TotalTime>21</TotalTime>
  <ScaleCrop>false</ScaleCrop>
  <LinksUpToDate>false</LinksUpToDate>
  <CharactersWithSpaces>906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2024-05-08T07:13:00Z</dcterms:created>
  <dc:creator>okk</dc:creator>
  <cp:lastModifiedBy>lianmin</cp:lastModifiedBy>
  <cp:lastPrinted>2024-11-11T02:20:04Z</cp:lastPrinted>
  <dcterms:modified xsi:type="dcterms:W3CDTF">2024-11-11T02:20:10Z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0FD6BD2EE7934A3CA5E46F7476BFDD38_13</vt:lpwstr>
  </property>
</Properties>
</file>