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BD3" w:rsidRPr="00BC0BD3" w:rsidRDefault="00BC0BD3" w:rsidP="00BC0BD3">
      <w:pPr>
        <w:pStyle w:val="a5"/>
        <w:spacing w:before="0" w:beforeAutospacing="0" w:after="0" w:afterAutospacing="0"/>
        <w:ind w:firstLine="480"/>
        <w:jc w:val="center"/>
        <w:rPr>
          <w:rFonts w:asciiTheme="majorEastAsia" w:eastAsiaTheme="majorEastAsia" w:hAnsiTheme="majorEastAsia"/>
          <w:b/>
          <w:color w:val="000000"/>
          <w:sz w:val="36"/>
          <w:szCs w:val="36"/>
        </w:rPr>
      </w:pPr>
      <w:bookmarkStart w:id="0" w:name="_GoBack"/>
      <w:r w:rsidRPr="00BC0BD3">
        <w:rPr>
          <w:rFonts w:asciiTheme="majorEastAsia" w:eastAsiaTheme="majorEastAsia" w:hAnsiTheme="majorEastAsia" w:hint="eastAsia"/>
          <w:b/>
          <w:color w:val="000000"/>
          <w:sz w:val="36"/>
          <w:szCs w:val="36"/>
        </w:rPr>
        <w:t>对物业管理活动的监督检查工作指引</w:t>
      </w:r>
    </w:p>
    <w:bookmarkEnd w:id="0"/>
    <w:p w:rsidR="00BC0BD3" w:rsidRDefault="00BC0BD3" w:rsidP="00BC0BD3">
      <w:pPr>
        <w:pStyle w:val="a5"/>
        <w:spacing w:before="0" w:beforeAutospacing="0" w:after="0" w:afterAutospacing="0"/>
        <w:ind w:firstLine="480"/>
        <w:jc w:val="both"/>
        <w:rPr>
          <w:rFonts w:ascii="微软雅黑" w:eastAsia="微软雅黑" w:hAnsi="微软雅黑" w:hint="eastAsia"/>
          <w:color w:val="000000"/>
        </w:rPr>
      </w:pPr>
      <w:r>
        <w:rPr>
          <w:rFonts w:ascii="微软雅黑" w:eastAsia="微软雅黑" w:hAnsi="微软雅黑" w:hint="eastAsia"/>
          <w:color w:val="000000"/>
        </w:rPr>
        <w:t> </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Style w:val="a6"/>
          <w:rFonts w:ascii="微软雅黑" w:eastAsia="微软雅黑" w:hAnsi="微软雅黑" w:hint="eastAsia"/>
          <w:color w:val="000000"/>
        </w:rPr>
        <w:t>一、抽查事项</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对物业管理活动的监督检查。</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Style w:val="a6"/>
          <w:rFonts w:ascii="微软雅黑" w:eastAsia="微软雅黑" w:hAnsi="微软雅黑" w:hint="eastAsia"/>
          <w:color w:val="000000"/>
        </w:rPr>
        <w:t>二、检查内容和方法</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（一）检查内容：</w:t>
      </w:r>
    </w:p>
    <w:p w:rsidR="00BC0BD3" w:rsidRDefault="00BC0BD3" w:rsidP="00BC0BD3">
      <w:pPr>
        <w:pStyle w:val="a5"/>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1.检查物业服务企业是否依法承接退出项目：是否依法接管物业服务项目；是否按要求进行承接查验；是否依法签订物业服务合同并备案；是否按规定移交物业管理用房及相关资料；是否按规定终止合同。</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2.检查物业服务企业是否依法依约提供服务：是否按照合同约定提供服务；是否将全部服务委托给他人。</w:t>
      </w:r>
    </w:p>
    <w:p w:rsidR="00BC0BD3" w:rsidRDefault="00BC0BD3" w:rsidP="00BC0BD3">
      <w:pPr>
        <w:pStyle w:val="a5"/>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3.检查物业服务企业是否依法使用公共部分：是否擅自占用、挖掘物业管理区域内的道路、场地，损害业主的共同利益；是否擅自改变物业管理区域内按照规划建设的公共建筑和共用设施用途；是否擅自利用物业共用部位、共用设施设备进行经营；是否未经同意改变物业管理用房的用途；是否挪用专项维修资金。</w:t>
      </w:r>
    </w:p>
    <w:p w:rsidR="00BC0BD3" w:rsidRDefault="00BC0BD3" w:rsidP="00BC0BD3">
      <w:pPr>
        <w:pStyle w:val="a5"/>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rPr>
        <w:t>4.检查物业服务企业是否依法报送报告信息：是否定期报送信用档案信息、统计报表等相关资料；是否及时报告业主入住情况；是否及时向有关部门报告违法违规行为和安全事故等情况。</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（二）检查方法</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现场检查。检查组人员按照检查内容对被检企业和项目进行明察暗访，通过实地检查、座谈交流、查阅资料等方式检查物业服务情况。</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Style w:val="a6"/>
          <w:rFonts w:ascii="微软雅黑" w:eastAsia="微软雅黑" w:hAnsi="微软雅黑" w:hint="eastAsia"/>
          <w:color w:val="000000"/>
        </w:rPr>
        <w:lastRenderedPageBreak/>
        <w:t>三、检查依据</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（一）《物业管理条例》（2003 年 6 月国务院令第 379 号，2018 年 3 月修订）</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第五条 国务院建设行政主管部门负责全国物业管理活动的监督管理工作。</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县级以上地方人民政府房地产行政主管部门负责本行政区域内物业管理活动的监督管理工作。</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（二）《住宅专项维修资金管理办法》（2007年12月，建设部、财政部令）</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第五条 国务院建设主管部门会同国务院财政部门负责全国住宅专项维修资金的指导和监督工作。</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县级以上地方人民政府建设（房地产）主管部门会同同级财政部门负责本行政区域内住宅专项维修资金的指导和监督工作。</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（三）《山东省物业管理条例》（2009年1月，2021年12月修正）</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第五条 省人民政府住房城乡建设主管部门负责全省物业管理活动的监督管理工作。</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设区的市、县（市、区）人民政府住房城乡建设主管部门或者设区的市、县（市、区）人民政府确定的物业主管部门（以下统称物业主管部门），负责本行政区域内物业管理活动的监督管理工作。</w:t>
      </w:r>
    </w:p>
    <w:p w:rsidR="00BC0BD3" w:rsidRDefault="00BC0BD3" w:rsidP="00BC0BD3">
      <w:pPr>
        <w:pStyle w:val="a5"/>
        <w:spacing w:before="0" w:beforeAutospacing="0" w:after="0" w:afterAutospacing="0"/>
        <w:ind w:firstLine="480"/>
        <w:textAlignment w:val="baseline"/>
        <w:rPr>
          <w:rFonts w:ascii="微软雅黑" w:eastAsia="微软雅黑" w:hAnsi="微软雅黑" w:hint="eastAsia"/>
          <w:color w:val="000000"/>
        </w:rPr>
      </w:pPr>
      <w:r>
        <w:rPr>
          <w:rFonts w:ascii="微软雅黑" w:eastAsia="微软雅黑" w:hAnsi="微软雅黑" w:hint="eastAsia"/>
          <w:color w:val="000000"/>
        </w:rPr>
        <w:t>城市管理、综合执法、财政、民政、发展改革、公安、自然资源、生态环境、市场监督管理等有关部门按照各自职责，做好与物业管理有关的工作。</w:t>
      </w:r>
    </w:p>
    <w:p w:rsidR="001C18CB" w:rsidRPr="00BC0BD3" w:rsidRDefault="001C18CB"/>
    <w:sectPr w:rsidR="001C18CB" w:rsidRPr="00BC0B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483" w:rsidRDefault="006A2483" w:rsidP="00BC0BD3">
      <w:r>
        <w:separator/>
      </w:r>
    </w:p>
  </w:endnote>
  <w:endnote w:type="continuationSeparator" w:id="0">
    <w:p w:rsidR="006A2483" w:rsidRDefault="006A2483" w:rsidP="00BC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483" w:rsidRDefault="006A2483" w:rsidP="00BC0BD3">
      <w:r>
        <w:separator/>
      </w:r>
    </w:p>
  </w:footnote>
  <w:footnote w:type="continuationSeparator" w:id="0">
    <w:p w:rsidR="006A2483" w:rsidRDefault="006A2483" w:rsidP="00BC0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DB"/>
    <w:rsid w:val="001C18CB"/>
    <w:rsid w:val="006A2483"/>
    <w:rsid w:val="00BC0BD3"/>
    <w:rsid w:val="00FD1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6194F8-E84E-443B-B8B3-FEFFEFE0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0BD3"/>
    <w:rPr>
      <w:sz w:val="18"/>
      <w:szCs w:val="18"/>
    </w:rPr>
  </w:style>
  <w:style w:type="paragraph" w:styleId="a4">
    <w:name w:val="footer"/>
    <w:basedOn w:val="a"/>
    <w:link w:val="Char0"/>
    <w:uiPriority w:val="99"/>
    <w:unhideWhenUsed/>
    <w:rsid w:val="00BC0BD3"/>
    <w:pPr>
      <w:tabs>
        <w:tab w:val="center" w:pos="4153"/>
        <w:tab w:val="right" w:pos="8306"/>
      </w:tabs>
      <w:snapToGrid w:val="0"/>
      <w:jc w:val="left"/>
    </w:pPr>
    <w:rPr>
      <w:sz w:val="18"/>
      <w:szCs w:val="18"/>
    </w:rPr>
  </w:style>
  <w:style w:type="character" w:customStyle="1" w:styleId="Char0">
    <w:name w:val="页脚 Char"/>
    <w:basedOn w:val="a0"/>
    <w:link w:val="a4"/>
    <w:uiPriority w:val="99"/>
    <w:rsid w:val="00BC0BD3"/>
    <w:rPr>
      <w:sz w:val="18"/>
      <w:szCs w:val="18"/>
    </w:rPr>
  </w:style>
  <w:style w:type="paragraph" w:styleId="a5">
    <w:name w:val="Normal (Web)"/>
    <w:basedOn w:val="a"/>
    <w:uiPriority w:val="99"/>
    <w:semiHidden/>
    <w:unhideWhenUsed/>
    <w:rsid w:val="00BC0B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C0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7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2026-06-02T08:05:00Z</dcterms:created>
  <dcterms:modified xsi:type="dcterms:W3CDTF">2026-06-02T08:06:00Z</dcterms:modified>
</cp:coreProperties>
</file>