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F00" w:rsidRDefault="00BC3259" w:rsidP="00BC3259">
      <w:pPr>
        <w:spacing w:line="560" w:lineRule="exact"/>
        <w:jc w:val="center"/>
        <w:rPr>
          <w:rFonts w:ascii="方正小标宋简体" w:eastAsia="方正小标宋简体" w:hAnsi="方正小标宋简体" w:cs="方正小标宋简体"/>
          <w:sz w:val="44"/>
          <w:szCs w:val="44"/>
        </w:rPr>
      </w:pPr>
      <w:r w:rsidRPr="00BC3259">
        <w:rPr>
          <w:rFonts w:ascii="方正小标宋简体" w:eastAsia="方正小标宋简体" w:hAnsi="方正小标宋简体" w:cs="方正小标宋简体" w:hint="eastAsia"/>
          <w:sz w:val="44"/>
          <w:szCs w:val="44"/>
        </w:rPr>
        <w:t>领导解读</w:t>
      </w:r>
      <w:r w:rsidRPr="00BC3259">
        <w:rPr>
          <w:rFonts w:ascii="方正小标宋简体" w:eastAsia="方正小标宋简体" w:hAnsi="方正小标宋简体" w:cs="方正小标宋简体"/>
          <w:sz w:val="44"/>
          <w:szCs w:val="44"/>
        </w:rPr>
        <w:t>|</w:t>
      </w:r>
      <w:r w:rsidRPr="00BC3259">
        <w:rPr>
          <w:rFonts w:ascii="方正小标宋简体" w:eastAsia="方正小标宋简体" w:hAnsi="方正小标宋简体" w:cs="方正小标宋简体" w:hint="eastAsia"/>
          <w:sz w:val="44"/>
          <w:szCs w:val="44"/>
        </w:rPr>
        <w:t>王学平主任带头解读《淄博高新区应急管理体系建设“十四五”规划》的通知</w:t>
      </w:r>
    </w:p>
    <w:p w:rsidR="00262F00" w:rsidRPr="00585E90" w:rsidRDefault="00262F00" w:rsidP="00D127EA">
      <w:pPr>
        <w:spacing w:line="560" w:lineRule="exact"/>
        <w:jc w:val="center"/>
        <w:rPr>
          <w:rFonts w:ascii="方正小标宋简体" w:eastAsia="方正小标宋简体" w:hAnsi="方正小标宋简体" w:cs="方正小标宋简体"/>
        </w:rPr>
      </w:pPr>
    </w:p>
    <w:p w:rsidR="00262F00" w:rsidRDefault="00635B6A" w:rsidP="00D127EA">
      <w:pPr>
        <w:spacing w:line="560" w:lineRule="exact"/>
        <w:ind w:firstLineChars="200" w:firstLine="640"/>
        <w:rPr>
          <w:rFonts w:ascii="黑体" w:eastAsia="黑体" w:hAnsi="黑体" w:cs="黑体"/>
        </w:rPr>
      </w:pPr>
      <w:r>
        <w:rPr>
          <w:rFonts w:ascii="黑体" w:eastAsia="黑体" w:hAnsi="黑体" w:cs="黑体" w:hint="eastAsia"/>
        </w:rPr>
        <w:t>一、</w:t>
      </w:r>
      <w:r w:rsidR="003D18B1">
        <w:rPr>
          <w:rFonts w:ascii="黑体" w:eastAsia="黑体" w:hAnsi="黑体" w:cs="黑体" w:hint="eastAsia"/>
        </w:rPr>
        <w:t>编制背景</w:t>
      </w:r>
    </w:p>
    <w:p w:rsidR="00262F00" w:rsidRPr="002C0824" w:rsidRDefault="003D18B1" w:rsidP="00D127EA">
      <w:pPr>
        <w:spacing w:line="560" w:lineRule="exact"/>
        <w:ind w:firstLineChars="200" w:firstLine="640"/>
        <w:rPr>
          <w:rFonts w:ascii="仿宋_GB2312"/>
        </w:rPr>
      </w:pPr>
      <w:r w:rsidRPr="002C0824">
        <w:rPr>
          <w:rFonts w:ascii="仿宋_GB2312" w:cs="Times New Roman" w:hint="eastAsia"/>
        </w:rPr>
        <w:t>为深入贯彻习近平总书记关于应急管理、安全生产、防灾减灾救灾重要知识精神，党中央、国务院关于应急管理工作一系列重大决策部署，省委、省政府和市委、市政府工作要求，统筹推进应急管理事业高质量发展，维护公共安全和社会稳定，</w:t>
      </w:r>
      <w:r w:rsidRPr="002C0824">
        <w:rPr>
          <w:rFonts w:ascii="仿宋_GB2312" w:hint="eastAsia"/>
        </w:rPr>
        <w:t>高新区应急管理中心按照</w:t>
      </w:r>
      <w:r w:rsidR="002855EC">
        <w:rPr>
          <w:rFonts w:hint="eastAsia"/>
        </w:rPr>
        <w:t>国务院、省、市相关文件</w:t>
      </w:r>
      <w:r w:rsidRPr="002C0824">
        <w:rPr>
          <w:rFonts w:ascii="仿宋_GB2312" w:hint="eastAsia"/>
        </w:rPr>
        <w:t>，结合我区应急管理实际需求，组织编制《</w:t>
      </w:r>
      <w:r w:rsidR="005D4842" w:rsidRPr="002C0824">
        <w:rPr>
          <w:rFonts w:ascii="仿宋_GB2312" w:hint="eastAsia"/>
        </w:rPr>
        <w:t>淄博高新区</w:t>
      </w:r>
      <w:r w:rsidRPr="002C0824">
        <w:rPr>
          <w:rFonts w:ascii="仿宋_GB2312" w:hint="eastAsia"/>
        </w:rPr>
        <w:t>应急管理</w:t>
      </w:r>
      <w:r w:rsidR="005D4842" w:rsidRPr="002C0824">
        <w:rPr>
          <w:rFonts w:ascii="仿宋_GB2312" w:hint="eastAsia"/>
        </w:rPr>
        <w:t>体系</w:t>
      </w:r>
      <w:r w:rsidRPr="002C0824">
        <w:rPr>
          <w:rFonts w:ascii="仿宋_GB2312" w:hint="eastAsia"/>
        </w:rPr>
        <w:t>“十四五”规划》。</w:t>
      </w:r>
    </w:p>
    <w:p w:rsidR="00262F00" w:rsidRPr="002C0824" w:rsidRDefault="00635B6A" w:rsidP="00D127EA">
      <w:pPr>
        <w:spacing w:line="560" w:lineRule="exact"/>
        <w:ind w:firstLineChars="200" w:firstLine="640"/>
        <w:rPr>
          <w:rFonts w:ascii="黑体" w:eastAsia="黑体" w:hAnsi="黑体" w:cs="黑体"/>
        </w:rPr>
      </w:pPr>
      <w:r w:rsidRPr="002C0824">
        <w:rPr>
          <w:rFonts w:ascii="黑体" w:eastAsia="黑体" w:hAnsi="黑体" w:cs="黑体" w:hint="eastAsia"/>
        </w:rPr>
        <w:t>二、</w:t>
      </w:r>
      <w:r w:rsidR="003D18B1" w:rsidRPr="002C0824">
        <w:rPr>
          <w:rFonts w:ascii="黑体" w:eastAsia="黑体" w:hAnsi="黑体" w:cs="黑体" w:hint="eastAsia"/>
        </w:rPr>
        <w:t>编制</w:t>
      </w:r>
      <w:r w:rsidR="005D4842" w:rsidRPr="002C0824">
        <w:rPr>
          <w:rFonts w:ascii="黑体" w:eastAsia="黑体" w:hAnsi="黑体" w:cs="黑体" w:hint="eastAsia"/>
        </w:rPr>
        <w:t>依据</w:t>
      </w:r>
    </w:p>
    <w:p w:rsidR="00262F00" w:rsidRPr="002C0824" w:rsidRDefault="00635B6A" w:rsidP="00D127EA">
      <w:pPr>
        <w:spacing w:line="560" w:lineRule="exact"/>
        <w:ind w:firstLineChars="200" w:firstLine="640"/>
        <w:rPr>
          <w:rFonts w:ascii="仿宋_GB2312"/>
        </w:rPr>
      </w:pPr>
      <w:r w:rsidRPr="002C0824">
        <w:rPr>
          <w:rFonts w:ascii="仿宋_GB2312" w:hint="eastAsia"/>
        </w:rPr>
        <w:t>1.</w:t>
      </w:r>
      <w:r w:rsidR="005D4842" w:rsidRPr="002C0824">
        <w:rPr>
          <w:rFonts w:ascii="仿宋_GB2312" w:cs="Times New Roman" w:hint="eastAsia"/>
        </w:rPr>
        <w:t>《山东省人民办公厅关于印发山东省重大突发事件应急保障体系建设规划（2020-2030年）的通知》（鲁政办字〔2020〕166号）</w:t>
      </w:r>
      <w:r w:rsidRPr="002C0824">
        <w:rPr>
          <w:rFonts w:ascii="仿宋_GB2312" w:hint="eastAsia"/>
        </w:rPr>
        <w:t>；</w:t>
      </w:r>
    </w:p>
    <w:p w:rsidR="00262F00" w:rsidRPr="002C0824" w:rsidRDefault="00635B6A" w:rsidP="00D127EA">
      <w:pPr>
        <w:spacing w:line="560" w:lineRule="exact"/>
        <w:ind w:firstLineChars="200" w:firstLine="640"/>
        <w:rPr>
          <w:rFonts w:ascii="仿宋_GB2312" w:cs="Times New Roman"/>
          <w:bCs/>
          <w:color w:val="000000" w:themeColor="text1"/>
          <w:szCs w:val="40"/>
        </w:rPr>
      </w:pPr>
      <w:r w:rsidRPr="002C0824">
        <w:rPr>
          <w:rFonts w:ascii="仿宋_GB2312" w:hint="eastAsia"/>
          <w:color w:val="000000" w:themeColor="text1"/>
        </w:rPr>
        <w:t>2.</w:t>
      </w:r>
      <w:r w:rsidR="005D4842" w:rsidRPr="002C0824">
        <w:rPr>
          <w:rFonts w:ascii="仿宋_GB2312" w:cs="Times New Roman" w:hint="eastAsia"/>
        </w:rPr>
        <w:t>《山东省人民政府办公厅关于印发山东省重大突发事件应急保障体系建设三年行动计划（2020-2022年）的通知》（鲁政办字〔2020〕167号）；</w:t>
      </w:r>
    </w:p>
    <w:p w:rsidR="00262F00" w:rsidRPr="002C0824" w:rsidRDefault="00635B6A" w:rsidP="00D127EA">
      <w:pPr>
        <w:spacing w:line="560" w:lineRule="exact"/>
        <w:ind w:firstLineChars="200" w:firstLine="640"/>
        <w:rPr>
          <w:rFonts w:ascii="仿宋_GB2312" w:cs="Times New Roman"/>
        </w:rPr>
      </w:pPr>
      <w:r w:rsidRPr="002C0824">
        <w:rPr>
          <w:rFonts w:ascii="仿宋_GB2312" w:hint="eastAsia"/>
          <w:color w:val="000000" w:themeColor="text1"/>
        </w:rPr>
        <w:t>3.</w:t>
      </w:r>
      <w:r w:rsidR="005D4842" w:rsidRPr="002C0824">
        <w:rPr>
          <w:rFonts w:ascii="仿宋_GB2312" w:cs="Times New Roman" w:hint="eastAsia"/>
          <w:color w:val="000000" w:themeColor="text1"/>
        </w:rPr>
        <w:t>《淄博市人民政府关于印发淄博市国民经济和社会发展第十四个五年规划和2035年远景目标纲要的通知》（淄政发〔2021〕7号）；</w:t>
      </w:r>
    </w:p>
    <w:p w:rsidR="005D4842" w:rsidRPr="002C0824" w:rsidRDefault="005D4842" w:rsidP="00D127EA">
      <w:pPr>
        <w:spacing w:line="560" w:lineRule="exact"/>
        <w:ind w:firstLineChars="200" w:firstLine="640"/>
        <w:rPr>
          <w:rFonts w:ascii="仿宋_GB2312"/>
          <w:color w:val="000000" w:themeColor="text1"/>
        </w:rPr>
      </w:pPr>
      <w:r w:rsidRPr="002C0824">
        <w:rPr>
          <w:rFonts w:ascii="仿宋_GB2312" w:cs="Times New Roman" w:hint="eastAsia"/>
        </w:rPr>
        <w:t>4.《淄博市人民政府办公室关于印发淄博市应急管理体系建设“十四五”规划的通知》（淄政办字〔2021〕62号）。</w:t>
      </w:r>
    </w:p>
    <w:p w:rsidR="00262F00" w:rsidRPr="002C0824" w:rsidRDefault="00635B6A" w:rsidP="00D127EA">
      <w:pPr>
        <w:spacing w:line="560" w:lineRule="exact"/>
        <w:ind w:firstLineChars="200" w:firstLine="640"/>
        <w:rPr>
          <w:rFonts w:ascii="黑体" w:eastAsia="黑体" w:hAnsi="黑体" w:cs="黑体"/>
        </w:rPr>
      </w:pPr>
      <w:r w:rsidRPr="002C0824">
        <w:rPr>
          <w:rFonts w:ascii="黑体" w:eastAsia="黑体" w:hAnsi="黑体" w:cs="黑体" w:hint="eastAsia"/>
        </w:rPr>
        <w:lastRenderedPageBreak/>
        <w:t>三、</w:t>
      </w:r>
      <w:r w:rsidR="005D4842" w:rsidRPr="002C0824">
        <w:rPr>
          <w:rFonts w:ascii="黑体" w:eastAsia="黑体" w:hAnsi="黑体" w:cs="黑体" w:hint="eastAsia"/>
        </w:rPr>
        <w:t>主要内容</w:t>
      </w:r>
    </w:p>
    <w:p w:rsidR="005D4842" w:rsidRPr="002C0824" w:rsidRDefault="005D4842" w:rsidP="00D127EA">
      <w:pPr>
        <w:spacing w:line="560" w:lineRule="exact"/>
        <w:ind w:firstLineChars="200" w:firstLine="640"/>
        <w:rPr>
          <w:rFonts w:ascii="仿宋_GB2312" w:cs="Times New Roman"/>
        </w:rPr>
      </w:pPr>
      <w:r w:rsidRPr="002C0824">
        <w:rPr>
          <w:rFonts w:ascii="仿宋_GB2312" w:cs="Times New Roman" w:hint="eastAsia"/>
        </w:rPr>
        <w:t>《规划》主要包括</w:t>
      </w:r>
      <w:r w:rsidR="00E2676E">
        <w:rPr>
          <w:rFonts w:ascii="仿宋_GB2312" w:cs="Times New Roman" w:hint="eastAsia"/>
        </w:rPr>
        <w:t>六</w:t>
      </w:r>
      <w:r w:rsidRPr="002C0824">
        <w:rPr>
          <w:rFonts w:ascii="仿宋_GB2312" w:cs="Times New Roman" w:hint="eastAsia"/>
        </w:rPr>
        <w:t>部分</w:t>
      </w:r>
      <w:r w:rsidR="00E2676E">
        <w:rPr>
          <w:rFonts w:ascii="仿宋_GB2312" w:cs="Times New Roman" w:hint="eastAsia"/>
        </w:rPr>
        <w:t>。</w:t>
      </w:r>
    </w:p>
    <w:p w:rsidR="003E19AA" w:rsidRPr="002C0824" w:rsidRDefault="005D4842" w:rsidP="00D127EA">
      <w:pPr>
        <w:spacing w:line="560" w:lineRule="exact"/>
        <w:ind w:firstLineChars="200" w:firstLine="640"/>
        <w:rPr>
          <w:rFonts w:ascii="仿宋_GB2312" w:cs="Times New Roman"/>
        </w:rPr>
      </w:pPr>
      <w:r w:rsidRPr="002C0824">
        <w:rPr>
          <w:rFonts w:ascii="仿宋_GB2312" w:cs="Times New Roman" w:hint="eastAsia"/>
        </w:rPr>
        <w:t>第一部分分析了发展现状。</w:t>
      </w:r>
      <w:r w:rsidR="00E6234D" w:rsidRPr="002C0824">
        <w:rPr>
          <w:rFonts w:ascii="仿宋_GB2312" w:cs="Times New Roman" w:hint="eastAsia"/>
        </w:rPr>
        <w:t>“十三五”时期取得了应急管理体制初步建立、应急救援能力显著提升、应急基础工作不断增强、公共卫生服务体系逐步健全、安全生产形势持续好转、自然灾害和疫情防控成效明显等六个方面的主要成就。面临安全生产形势依然严峻、自然灾害风险交织叠加、体制机制法制尚不健全、应急基层基础还不稳固、应急处置能力存在短板等五个方面风险挑战。</w:t>
      </w:r>
    </w:p>
    <w:p w:rsidR="005D4842" w:rsidRPr="002C0824" w:rsidRDefault="005D4842" w:rsidP="00D127EA">
      <w:pPr>
        <w:spacing w:line="560" w:lineRule="exact"/>
        <w:ind w:firstLineChars="200" w:firstLine="640"/>
        <w:rPr>
          <w:rFonts w:ascii="仿宋_GB2312" w:cs="Times New Roman"/>
        </w:rPr>
      </w:pPr>
      <w:r w:rsidRPr="002C0824">
        <w:rPr>
          <w:rFonts w:ascii="仿宋_GB2312" w:cs="Times New Roman" w:hint="eastAsia"/>
        </w:rPr>
        <w:t>第二部分明确了《规划》</w:t>
      </w:r>
      <w:r w:rsidR="003E19AA" w:rsidRPr="002C0824">
        <w:rPr>
          <w:rFonts w:ascii="仿宋_GB2312" w:cs="Times New Roman" w:hint="eastAsia"/>
        </w:rPr>
        <w:t>编制的指导思想、基本原则。</w:t>
      </w:r>
      <w:r w:rsidR="00E6234D" w:rsidRPr="002C0824">
        <w:rPr>
          <w:rFonts w:ascii="仿宋_GB2312" w:cs="Times New Roman" w:hint="eastAsia"/>
        </w:rPr>
        <w:t>《规划》以习近平新时代中国特色社会主义思想为指导，全面贯彻党的十九大和十九届二中、三中、四中、五中全会精神。《规划》坚持党的领导、坚持以人为本、坚持预防为主、坚持统筹谋划、坚持创新驱动等五个基本原则。</w:t>
      </w:r>
    </w:p>
    <w:p w:rsidR="003E19AA" w:rsidRPr="002C0824" w:rsidRDefault="003E19AA" w:rsidP="00D127EA">
      <w:pPr>
        <w:spacing w:line="560" w:lineRule="exact"/>
        <w:ind w:firstLineChars="200" w:firstLine="640"/>
        <w:rPr>
          <w:rFonts w:ascii="仿宋_GB2312" w:cs="Times New Roman"/>
        </w:rPr>
      </w:pPr>
      <w:r w:rsidRPr="002C0824">
        <w:rPr>
          <w:rFonts w:ascii="仿宋_GB2312" w:cs="Times New Roman" w:hint="eastAsia"/>
        </w:rPr>
        <w:t>第三部分明确了《规划》总体目标和近期目标</w:t>
      </w:r>
      <w:r w:rsidR="00E6234D" w:rsidRPr="002C0824">
        <w:rPr>
          <w:rFonts w:ascii="仿宋_GB2312" w:cs="Times New Roman" w:hint="eastAsia"/>
        </w:rPr>
        <w:t>。</w:t>
      </w:r>
      <w:r w:rsidR="00421452" w:rsidRPr="002C0824">
        <w:rPr>
          <w:rFonts w:ascii="仿宋_GB2312" w:cs="Times New Roman" w:hint="eastAsia"/>
        </w:rPr>
        <w:t>总体目标重点对“十四五”时期</w:t>
      </w:r>
      <w:r w:rsidR="00E2676E">
        <w:rPr>
          <w:rFonts w:ascii="仿宋_GB2312" w:cs="Times New Roman" w:hint="eastAsia"/>
        </w:rPr>
        <w:t>淄博高新区</w:t>
      </w:r>
      <w:r w:rsidR="00421452" w:rsidRPr="002C0824">
        <w:rPr>
          <w:rFonts w:ascii="仿宋_GB2312" w:cs="Times New Roman" w:hint="eastAsia"/>
        </w:rPr>
        <w:t>自然灾害、事故灾难、公共卫生、社会安全等4个方面的风险防控目标和应急指挥、监测预警、物资保障、应急力量保障、医疗救援保障、运输保障、通信保障、科技装备保障、基层基础能力等9个方面的能力保障目标进行了明确。</w:t>
      </w:r>
      <w:r w:rsidR="00421452" w:rsidRPr="002C0824">
        <w:rPr>
          <w:rFonts w:ascii="仿宋_GB2312" w:hint="eastAsia"/>
          <w:color w:val="000000"/>
          <w:spacing w:val="12"/>
          <w:shd w:val="clear" w:color="auto" w:fill="FFFFFF"/>
        </w:rPr>
        <w:t>近期目标重点对到2022年，在自然灾害、安全生产、公共卫生、社会安全等4个领域的风险防控和能力建设目标进行了明确。</w:t>
      </w:r>
    </w:p>
    <w:p w:rsidR="003E19AA" w:rsidRPr="002C0824" w:rsidRDefault="003E19AA" w:rsidP="00D127EA">
      <w:pPr>
        <w:spacing w:line="560" w:lineRule="exact"/>
        <w:ind w:firstLineChars="200" w:firstLine="640"/>
        <w:rPr>
          <w:rFonts w:ascii="仿宋_GB2312" w:cs="Times New Roman"/>
        </w:rPr>
      </w:pPr>
      <w:r w:rsidRPr="002C0824">
        <w:rPr>
          <w:rFonts w:ascii="仿宋_GB2312" w:cs="Times New Roman" w:hint="eastAsia"/>
        </w:rPr>
        <w:lastRenderedPageBreak/>
        <w:t>第四部分明确了“十四五”期间重点完善八大体系。</w:t>
      </w:r>
      <w:r w:rsidR="00421452" w:rsidRPr="002C0824">
        <w:rPr>
          <w:rFonts w:ascii="仿宋_GB2312" w:cs="Times New Roman" w:hint="eastAsia"/>
        </w:rPr>
        <w:t>一是完善应急管理指挥体系。二是完善安全风险防控体系。三是完善自然灾害防治体系。四是完善应急救援力量体系。五是完善应急物资保障体系。六是完善应急医疗卫生保障体系。七是完善应急法治保障体系。八是完善应急基础保障体系。</w:t>
      </w:r>
    </w:p>
    <w:p w:rsidR="003E19AA" w:rsidRPr="002C0824" w:rsidRDefault="003E19AA" w:rsidP="00D127EA">
      <w:pPr>
        <w:spacing w:line="560" w:lineRule="exact"/>
        <w:ind w:firstLineChars="200" w:firstLine="640"/>
        <w:rPr>
          <w:rFonts w:ascii="仿宋_GB2312" w:cs="Times New Roman"/>
        </w:rPr>
      </w:pPr>
      <w:r w:rsidRPr="002C0824">
        <w:rPr>
          <w:rFonts w:ascii="仿宋_GB2312" w:cs="Times New Roman" w:hint="eastAsia"/>
        </w:rPr>
        <w:t>第五部分明确了“十四五”期间重点打造的“十项工程”。</w:t>
      </w:r>
      <w:r w:rsidR="002C0824" w:rsidRPr="002C0824">
        <w:rPr>
          <w:rFonts w:ascii="仿宋_GB2312" w:hint="eastAsia"/>
          <w:color w:val="000000"/>
          <w:spacing w:val="12"/>
          <w:shd w:val="clear" w:color="auto" w:fill="FFFFFF"/>
        </w:rPr>
        <w:t>一是“智慧应急”信息平台建设工程；二是自然灾害监测预警工程；三是安全发展示范城市创建工程；四是应急物资装备建设工程。五是重大突发公共卫生事件应急处置建设工程。六是森林火灾高风险区综合治理工程。七是防汛抗旱水利提升工程。八是地质灾害综合治理工程。九是应急广播体系建设工程。十是安全产业园建设工程。</w:t>
      </w:r>
    </w:p>
    <w:p w:rsidR="003E19AA" w:rsidRDefault="003E19AA" w:rsidP="00D127EA">
      <w:pPr>
        <w:spacing w:line="560" w:lineRule="exact"/>
        <w:ind w:firstLineChars="200" w:firstLine="640"/>
        <w:rPr>
          <w:rFonts w:ascii="仿宋_GB2312" w:cs="Times New Roman"/>
        </w:rPr>
      </w:pPr>
      <w:r w:rsidRPr="002C0824">
        <w:rPr>
          <w:rFonts w:ascii="仿宋_GB2312" w:cs="Times New Roman" w:hint="eastAsia"/>
        </w:rPr>
        <w:t>第六部分主要是为了确保规划目标、主要任务和重点工程落地成效，提出了加强组织领导、强化政策扶持、加快人才培养、制定实施计划、强化考核评估等五项保障措施。</w:t>
      </w:r>
    </w:p>
    <w:p w:rsidR="00F93E3E" w:rsidRDefault="00F93E3E" w:rsidP="00D127EA">
      <w:pPr>
        <w:spacing w:line="560" w:lineRule="exact"/>
        <w:ind w:firstLineChars="200" w:firstLine="640"/>
        <w:rPr>
          <w:rFonts w:ascii="仿宋_GB2312" w:cs="Times New Roman"/>
        </w:rPr>
      </w:pPr>
      <w:r>
        <w:rPr>
          <w:rFonts w:ascii="仿宋_GB2312" w:cs="Times New Roman" w:hint="eastAsia"/>
        </w:rPr>
        <w:t>联系人：姜超    联系电话：0533-3588937</w:t>
      </w:r>
    </w:p>
    <w:p w:rsidR="00F93E3E" w:rsidRDefault="00F93E3E" w:rsidP="00D127EA">
      <w:pPr>
        <w:spacing w:line="560" w:lineRule="exact"/>
        <w:ind w:firstLineChars="200" w:firstLine="640"/>
        <w:rPr>
          <w:rFonts w:ascii="仿宋_GB2312" w:cs="Times New Roman"/>
        </w:rPr>
      </w:pPr>
    </w:p>
    <w:p w:rsidR="00F93E3E" w:rsidRDefault="00F93E3E" w:rsidP="00F93E3E">
      <w:pPr>
        <w:spacing w:line="560" w:lineRule="exact"/>
        <w:ind w:firstLineChars="200" w:firstLine="640"/>
        <w:jc w:val="center"/>
        <w:rPr>
          <w:rFonts w:ascii="仿宋_GB2312" w:cs="Times New Roman"/>
        </w:rPr>
      </w:pPr>
      <w:r>
        <w:rPr>
          <w:rFonts w:ascii="仿宋_GB2312" w:cs="Times New Roman" w:hint="eastAsia"/>
        </w:rPr>
        <w:t>淄博高新技术产业开发区安全生产委员会办公室</w:t>
      </w:r>
    </w:p>
    <w:p w:rsidR="00F93E3E" w:rsidRPr="00F93E3E" w:rsidRDefault="00F93E3E" w:rsidP="00F93E3E">
      <w:pPr>
        <w:spacing w:line="560" w:lineRule="exact"/>
        <w:ind w:firstLineChars="200" w:firstLine="640"/>
        <w:jc w:val="center"/>
        <w:rPr>
          <w:rFonts w:ascii="仿宋_GB2312" w:cs="Times New Roman"/>
        </w:rPr>
      </w:pPr>
      <w:r>
        <w:rPr>
          <w:rFonts w:ascii="仿宋_GB2312" w:cs="Times New Roman" w:hint="eastAsia"/>
        </w:rPr>
        <w:t>2021年12月10日</w:t>
      </w:r>
    </w:p>
    <w:sectPr w:rsidR="00F93E3E" w:rsidRPr="00F93E3E" w:rsidSect="00622C79">
      <w:pgSz w:w="11906" w:h="16838"/>
      <w:pgMar w:top="2041" w:right="1531" w:bottom="2041" w:left="1531"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1F43" w:rsidRDefault="00131F43" w:rsidP="00C75B2B">
      <w:r>
        <w:separator/>
      </w:r>
    </w:p>
  </w:endnote>
  <w:endnote w:type="continuationSeparator" w:id="1">
    <w:p w:rsidR="00131F43" w:rsidRDefault="00131F43" w:rsidP="00C75B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1F43" w:rsidRDefault="00131F43" w:rsidP="00C75B2B">
      <w:r>
        <w:separator/>
      </w:r>
    </w:p>
  </w:footnote>
  <w:footnote w:type="continuationSeparator" w:id="1">
    <w:p w:rsidR="00131F43" w:rsidRDefault="00131F43" w:rsidP="00C75B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11003"/>
    <w:rsid w:val="00131F43"/>
    <w:rsid w:val="00172A27"/>
    <w:rsid w:val="00191D50"/>
    <w:rsid w:val="00262F00"/>
    <w:rsid w:val="002855EC"/>
    <w:rsid w:val="002C0824"/>
    <w:rsid w:val="00312CA9"/>
    <w:rsid w:val="00337137"/>
    <w:rsid w:val="003A28B0"/>
    <w:rsid w:val="003D18B1"/>
    <w:rsid w:val="003E19AA"/>
    <w:rsid w:val="00421452"/>
    <w:rsid w:val="00585E90"/>
    <w:rsid w:val="0059555A"/>
    <w:rsid w:val="005D4842"/>
    <w:rsid w:val="00615AEB"/>
    <w:rsid w:val="00622C79"/>
    <w:rsid w:val="00635B6A"/>
    <w:rsid w:val="006D0505"/>
    <w:rsid w:val="007A257C"/>
    <w:rsid w:val="00905206"/>
    <w:rsid w:val="00A01CBB"/>
    <w:rsid w:val="00A3075A"/>
    <w:rsid w:val="00B11877"/>
    <w:rsid w:val="00BC3259"/>
    <w:rsid w:val="00C75B2B"/>
    <w:rsid w:val="00CE4E31"/>
    <w:rsid w:val="00D127EA"/>
    <w:rsid w:val="00D66E1A"/>
    <w:rsid w:val="00E173EE"/>
    <w:rsid w:val="00E2676E"/>
    <w:rsid w:val="00E6234D"/>
    <w:rsid w:val="00F9227E"/>
    <w:rsid w:val="00F93E3E"/>
    <w:rsid w:val="01260DD8"/>
    <w:rsid w:val="01BA6F69"/>
    <w:rsid w:val="01BF2BDD"/>
    <w:rsid w:val="02014E13"/>
    <w:rsid w:val="021B247D"/>
    <w:rsid w:val="028F3E4A"/>
    <w:rsid w:val="039205A1"/>
    <w:rsid w:val="03EF4D4D"/>
    <w:rsid w:val="0526281F"/>
    <w:rsid w:val="064D03C6"/>
    <w:rsid w:val="0B587CBC"/>
    <w:rsid w:val="0E125050"/>
    <w:rsid w:val="11AA5ADA"/>
    <w:rsid w:val="12905F06"/>
    <w:rsid w:val="133269E8"/>
    <w:rsid w:val="155E0C94"/>
    <w:rsid w:val="1609731A"/>
    <w:rsid w:val="1FB806D2"/>
    <w:rsid w:val="21640FF7"/>
    <w:rsid w:val="22FE160E"/>
    <w:rsid w:val="23EC016E"/>
    <w:rsid w:val="24E60C03"/>
    <w:rsid w:val="295D2902"/>
    <w:rsid w:val="2A225882"/>
    <w:rsid w:val="2AE51DA7"/>
    <w:rsid w:val="2F611AA7"/>
    <w:rsid w:val="309B4F2C"/>
    <w:rsid w:val="30A7730B"/>
    <w:rsid w:val="323922FF"/>
    <w:rsid w:val="361F2F57"/>
    <w:rsid w:val="36B05F76"/>
    <w:rsid w:val="3722257F"/>
    <w:rsid w:val="37A1164D"/>
    <w:rsid w:val="3A055B92"/>
    <w:rsid w:val="3A584FD8"/>
    <w:rsid w:val="3C445D9D"/>
    <w:rsid w:val="3E8629B3"/>
    <w:rsid w:val="3E995394"/>
    <w:rsid w:val="40DF4CE9"/>
    <w:rsid w:val="42276663"/>
    <w:rsid w:val="425E6BAA"/>
    <w:rsid w:val="45547F40"/>
    <w:rsid w:val="46EA0335"/>
    <w:rsid w:val="48FF192F"/>
    <w:rsid w:val="4B10789A"/>
    <w:rsid w:val="4BF60043"/>
    <w:rsid w:val="4DCC2FBF"/>
    <w:rsid w:val="504C387C"/>
    <w:rsid w:val="507C505B"/>
    <w:rsid w:val="53F4239F"/>
    <w:rsid w:val="54C82F4F"/>
    <w:rsid w:val="564F5F8B"/>
    <w:rsid w:val="57F313EF"/>
    <w:rsid w:val="59D20354"/>
    <w:rsid w:val="5B0419DC"/>
    <w:rsid w:val="5C9C3F29"/>
    <w:rsid w:val="5CFE42FC"/>
    <w:rsid w:val="5D7D4896"/>
    <w:rsid w:val="5EDC1702"/>
    <w:rsid w:val="5F733B38"/>
    <w:rsid w:val="619A77DB"/>
    <w:rsid w:val="62A41D82"/>
    <w:rsid w:val="62D13C76"/>
    <w:rsid w:val="638E3D62"/>
    <w:rsid w:val="64FA44E7"/>
    <w:rsid w:val="65D60F73"/>
    <w:rsid w:val="662069DD"/>
    <w:rsid w:val="664D29AB"/>
    <w:rsid w:val="66AA0CCE"/>
    <w:rsid w:val="681D1DDF"/>
    <w:rsid w:val="6B92414D"/>
    <w:rsid w:val="6BCD5D76"/>
    <w:rsid w:val="6CBD168D"/>
    <w:rsid w:val="6DD62E7C"/>
    <w:rsid w:val="71D27AB4"/>
    <w:rsid w:val="71D72337"/>
    <w:rsid w:val="73C34A87"/>
    <w:rsid w:val="75137155"/>
    <w:rsid w:val="75E6291C"/>
    <w:rsid w:val="76E54B61"/>
    <w:rsid w:val="77C55797"/>
    <w:rsid w:val="785F5D3F"/>
    <w:rsid w:val="786A437B"/>
    <w:rsid w:val="7BF50FBA"/>
    <w:rsid w:val="7FF363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C79"/>
    <w:pPr>
      <w:widowControl w:val="0"/>
      <w:jc w:val="both"/>
    </w:pPr>
    <w:rPr>
      <w:rFonts w:eastAsia="仿宋_GB2312" w:cstheme="minorBidi"/>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22C79"/>
    <w:pPr>
      <w:spacing w:beforeAutospacing="1" w:afterAutospacing="1"/>
      <w:jc w:val="left"/>
    </w:pPr>
    <w:rPr>
      <w:rFonts w:cs="Times New Roman"/>
      <w:kern w:val="0"/>
      <w:sz w:val="24"/>
    </w:rPr>
  </w:style>
  <w:style w:type="character" w:styleId="a4">
    <w:name w:val="Strong"/>
    <w:basedOn w:val="a0"/>
    <w:qFormat/>
    <w:rsid w:val="00622C79"/>
    <w:rPr>
      <w:b/>
    </w:rPr>
  </w:style>
  <w:style w:type="character" w:styleId="a5">
    <w:name w:val="Hyperlink"/>
    <w:basedOn w:val="a0"/>
    <w:rsid w:val="00622C79"/>
    <w:rPr>
      <w:color w:val="0000FF"/>
      <w:u w:val="single"/>
    </w:rPr>
  </w:style>
  <w:style w:type="paragraph" w:styleId="a6">
    <w:name w:val="header"/>
    <w:basedOn w:val="a"/>
    <w:link w:val="Char"/>
    <w:rsid w:val="00C75B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C75B2B"/>
    <w:rPr>
      <w:rFonts w:eastAsia="仿宋_GB2312" w:cstheme="minorBidi"/>
      <w:kern w:val="2"/>
      <w:sz w:val="18"/>
      <w:szCs w:val="18"/>
    </w:rPr>
  </w:style>
  <w:style w:type="paragraph" w:styleId="a7">
    <w:name w:val="footer"/>
    <w:basedOn w:val="a"/>
    <w:link w:val="Char0"/>
    <w:rsid w:val="00C75B2B"/>
    <w:pPr>
      <w:tabs>
        <w:tab w:val="center" w:pos="4153"/>
        <w:tab w:val="right" w:pos="8306"/>
      </w:tabs>
      <w:snapToGrid w:val="0"/>
      <w:jc w:val="left"/>
    </w:pPr>
    <w:rPr>
      <w:sz w:val="18"/>
      <w:szCs w:val="18"/>
    </w:rPr>
  </w:style>
  <w:style w:type="character" w:customStyle="1" w:styleId="Char0">
    <w:name w:val="页脚 Char"/>
    <w:basedOn w:val="a0"/>
    <w:link w:val="a7"/>
    <w:rsid w:val="00C75B2B"/>
    <w:rPr>
      <w:rFonts w:eastAsia="仿宋_GB2312"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cstheme="minorBidi"/>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rPr>
      <w:color w:val="0000FF"/>
      <w:u w:val="single"/>
    </w:rPr>
  </w:style>
  <w:style w:type="paragraph" w:styleId="a6">
    <w:name w:val="header"/>
    <w:basedOn w:val="a"/>
    <w:link w:val="Char"/>
    <w:rsid w:val="00C75B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C75B2B"/>
    <w:rPr>
      <w:rFonts w:eastAsia="仿宋_GB2312" w:cstheme="minorBidi"/>
      <w:kern w:val="2"/>
      <w:sz w:val="18"/>
      <w:szCs w:val="18"/>
    </w:rPr>
  </w:style>
  <w:style w:type="paragraph" w:styleId="a7">
    <w:name w:val="footer"/>
    <w:basedOn w:val="a"/>
    <w:link w:val="Char0"/>
    <w:rsid w:val="00C75B2B"/>
    <w:pPr>
      <w:tabs>
        <w:tab w:val="center" w:pos="4153"/>
        <w:tab w:val="right" w:pos="8306"/>
      </w:tabs>
      <w:snapToGrid w:val="0"/>
      <w:jc w:val="left"/>
    </w:pPr>
    <w:rPr>
      <w:sz w:val="18"/>
      <w:szCs w:val="18"/>
    </w:rPr>
  </w:style>
  <w:style w:type="character" w:customStyle="1" w:styleId="Char0">
    <w:name w:val="页脚 Char"/>
    <w:basedOn w:val="a0"/>
    <w:link w:val="a7"/>
    <w:rsid w:val="00C75B2B"/>
    <w:rPr>
      <w:rFonts w:eastAsia="仿宋_GB2312"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215</Words>
  <Characters>1230</Characters>
  <Application>Microsoft Office Word</Application>
  <DocSecurity>0</DocSecurity>
  <Lines>10</Lines>
  <Paragraphs>2</Paragraphs>
  <ScaleCrop>false</ScaleCrop>
  <Company>Kingsoft</Company>
  <LinksUpToDate>false</LinksUpToDate>
  <CharactersWithSpaces>1443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18</cp:revision>
  <dcterms:created xsi:type="dcterms:W3CDTF">2014-10-29T12:08:00Z</dcterms:created>
  <dcterms:modified xsi:type="dcterms:W3CDTF">2021-12-13T07:19:00Z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