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5460B8">
      <w:pPr>
        <w:spacing w:beforeLines="50" w:line="560" w:lineRule="exact"/>
        <w:jc w:val="center"/>
        <w:rPr>
          <w:rFonts w:hint="eastAsia" w:ascii="方正小标宋简体" w:hAnsi="仿宋" w:eastAsia="方正小标宋简体"/>
          <w:b w:val="0"/>
          <w:bCs/>
          <w:sz w:val="44"/>
          <w:szCs w:val="44"/>
        </w:rPr>
      </w:pPr>
      <w:bookmarkStart w:id="0" w:name="OLE_LINK1"/>
      <w:r>
        <w:rPr>
          <w:rFonts w:hint="eastAsia" w:ascii="方正小标宋简体" w:hAnsi="仿宋" w:eastAsia="方正小标宋简体"/>
          <w:b w:val="0"/>
          <w:bCs/>
          <w:sz w:val="44"/>
          <w:szCs w:val="44"/>
        </w:rPr>
        <w:t>高新区第四</w:t>
      </w:r>
      <w:bookmarkStart w:id="1" w:name="OLE_LINK18"/>
      <w:r>
        <w:rPr>
          <w:rFonts w:hint="eastAsia" w:ascii="方正小标宋简体" w:hAnsi="仿宋" w:eastAsia="方正小标宋简体"/>
          <w:b w:val="0"/>
          <w:bCs/>
          <w:sz w:val="44"/>
          <w:szCs w:val="44"/>
        </w:rPr>
        <w:t>小学</w:t>
      </w:r>
    </w:p>
    <w:p w14:paraId="7B22C4AB">
      <w:pPr>
        <w:spacing w:beforeLines="50" w:line="560" w:lineRule="exact"/>
        <w:jc w:val="center"/>
        <w:rPr>
          <w:rFonts w:hint="eastAsia" w:ascii="方正小标宋简体" w:hAnsi="仿宋" w:eastAsia="方正小标宋简体"/>
          <w:b w:val="0"/>
          <w:bCs/>
          <w:sz w:val="44"/>
          <w:szCs w:val="44"/>
          <w:lang w:eastAsia="zh-CN"/>
        </w:rPr>
      </w:pPr>
      <w:r>
        <w:rPr>
          <w:rFonts w:hint="eastAsia" w:ascii="方正小标宋简体" w:hAnsi="仿宋" w:eastAsia="方正小标宋简体"/>
          <w:b w:val="0"/>
          <w:bCs/>
          <w:sz w:val="44"/>
          <w:szCs w:val="44"/>
        </w:rPr>
        <w:t>202</w:t>
      </w:r>
      <w:r>
        <w:rPr>
          <w:rFonts w:hint="eastAsia" w:ascii="方正小标宋简体" w:hAnsi="仿宋" w:eastAsia="方正小标宋简体"/>
          <w:b w:val="0"/>
          <w:bCs/>
          <w:sz w:val="44"/>
          <w:szCs w:val="44"/>
          <w:lang w:val="en-US" w:eastAsia="zh-CN"/>
        </w:rPr>
        <w:t>4</w:t>
      </w:r>
      <w:r>
        <w:rPr>
          <w:rFonts w:hint="eastAsia" w:ascii="方正小标宋简体" w:hAnsi="仿宋" w:eastAsia="方正小标宋简体"/>
          <w:b w:val="0"/>
          <w:bCs/>
          <w:sz w:val="44"/>
          <w:szCs w:val="44"/>
        </w:rPr>
        <w:t>—202</w:t>
      </w:r>
      <w:r>
        <w:rPr>
          <w:rFonts w:hint="eastAsia" w:ascii="方正小标宋简体" w:hAnsi="仿宋" w:eastAsia="方正小标宋简体"/>
          <w:b w:val="0"/>
          <w:bCs/>
          <w:sz w:val="44"/>
          <w:szCs w:val="44"/>
          <w:lang w:val="en-US" w:eastAsia="zh-CN"/>
        </w:rPr>
        <w:t>5</w:t>
      </w:r>
      <w:r>
        <w:rPr>
          <w:rFonts w:hint="eastAsia" w:ascii="方正小标宋简体" w:hAnsi="仿宋" w:eastAsia="方正小标宋简体"/>
          <w:b w:val="0"/>
          <w:bCs/>
          <w:sz w:val="44"/>
          <w:szCs w:val="44"/>
        </w:rPr>
        <w:t>学年</w:t>
      </w:r>
      <w:r>
        <w:rPr>
          <w:rFonts w:hint="eastAsia" w:ascii="方正小标宋简体" w:hAnsi="仿宋" w:eastAsia="方正小标宋简体"/>
          <w:b w:val="0"/>
          <w:bCs/>
          <w:sz w:val="44"/>
          <w:szCs w:val="44"/>
          <w:lang w:eastAsia="zh-CN"/>
        </w:rPr>
        <w:t>学校工作计划</w:t>
      </w:r>
    </w:p>
    <w:bookmarkEnd w:id="1"/>
    <w:p w14:paraId="6643BE1D">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ascii="黑体" w:hAnsi="黑体" w:eastAsia="黑体"/>
          <w:sz w:val="36"/>
          <w:szCs w:val="36"/>
        </w:rPr>
      </w:pPr>
      <w:r>
        <w:rPr>
          <w:rFonts w:hint="eastAsia" w:ascii="黑体" w:hAnsi="黑体" w:eastAsia="黑体"/>
          <w:sz w:val="36"/>
          <w:szCs w:val="36"/>
        </w:rPr>
        <w:t>一、指导</w:t>
      </w:r>
      <w:r>
        <w:rPr>
          <w:rFonts w:ascii="黑体" w:hAnsi="黑体" w:eastAsia="黑体"/>
          <w:sz w:val="36"/>
          <w:szCs w:val="36"/>
        </w:rPr>
        <w:t>思想</w:t>
      </w:r>
    </w:p>
    <w:p w14:paraId="04CAD1A1">
      <w:pPr>
        <w:keepNext w:val="0"/>
        <w:keepLines w:val="0"/>
        <w:pageBreakBefore w:val="0"/>
        <w:widowControl w:val="0"/>
        <w:kinsoku/>
        <w:wordWrap/>
        <w:overflowPunct/>
        <w:topLinePunct w:val="0"/>
        <w:autoSpaceDE/>
        <w:autoSpaceDN/>
        <w:bidi w:val="0"/>
        <w:adjustRightInd/>
        <w:snapToGrid/>
        <w:spacing w:line="560" w:lineRule="exact"/>
        <w:textAlignment w:val="auto"/>
        <w:rPr>
          <w:rFonts w:ascii="仿宋" w:hAnsi="仿宋" w:eastAsia="仿宋"/>
          <w:sz w:val="36"/>
          <w:szCs w:val="36"/>
        </w:rPr>
      </w:pPr>
      <w:r>
        <w:rPr>
          <w:rFonts w:hint="eastAsia" w:ascii="仿宋" w:hAnsi="仿宋" w:eastAsia="仿宋"/>
          <w:sz w:val="36"/>
          <w:szCs w:val="36"/>
        </w:rPr>
        <w:t xml:space="preserve">   </w:t>
      </w:r>
      <w:bookmarkStart w:id="2" w:name="_Hlk159251401"/>
      <w:r>
        <w:rPr>
          <w:rFonts w:hint="eastAsia" w:ascii="仿宋" w:hAnsi="仿宋" w:eastAsia="仿宋"/>
          <w:sz w:val="36"/>
          <w:szCs w:val="36"/>
          <w:lang w:val="en-US" w:eastAsia="zh-CN"/>
        </w:rPr>
        <w:t xml:space="preserve"> </w:t>
      </w:r>
      <w:r>
        <w:rPr>
          <w:rFonts w:hint="eastAsia" w:ascii="仿宋" w:hAnsi="仿宋" w:eastAsia="仿宋"/>
          <w:sz w:val="36"/>
          <w:szCs w:val="36"/>
        </w:rPr>
        <w:t>202</w:t>
      </w:r>
      <w:r>
        <w:rPr>
          <w:rFonts w:hint="eastAsia" w:ascii="仿宋" w:hAnsi="仿宋" w:eastAsia="仿宋"/>
          <w:sz w:val="36"/>
          <w:szCs w:val="36"/>
          <w:lang w:val="en-US" w:eastAsia="zh-CN"/>
        </w:rPr>
        <w:t>4</w:t>
      </w:r>
      <w:r>
        <w:rPr>
          <w:rFonts w:hint="eastAsia" w:ascii="仿宋" w:hAnsi="仿宋" w:eastAsia="仿宋"/>
          <w:sz w:val="36"/>
          <w:szCs w:val="36"/>
        </w:rPr>
        <w:t>-202</w:t>
      </w:r>
      <w:r>
        <w:rPr>
          <w:rFonts w:hint="eastAsia" w:ascii="仿宋" w:hAnsi="仿宋" w:eastAsia="仿宋"/>
          <w:sz w:val="36"/>
          <w:szCs w:val="36"/>
          <w:lang w:val="en-US" w:eastAsia="zh-CN"/>
        </w:rPr>
        <w:t>5</w:t>
      </w:r>
      <w:r>
        <w:rPr>
          <w:rFonts w:hint="eastAsia" w:ascii="仿宋" w:hAnsi="仿宋" w:eastAsia="仿宋"/>
          <w:sz w:val="36"/>
          <w:szCs w:val="36"/>
        </w:rPr>
        <w:t>学年度，高新区第四小学将紧紧围绕高新区教育中心工作重点，深入贯彻新时代教育方针</w:t>
      </w:r>
      <w:r>
        <w:rPr>
          <w:rFonts w:hint="eastAsia" w:ascii="仿宋" w:hAnsi="仿宋" w:eastAsia="仿宋"/>
          <w:sz w:val="36"/>
          <w:szCs w:val="36"/>
          <w:lang w:eastAsia="zh-CN"/>
        </w:rPr>
        <w:t>，</w:t>
      </w:r>
      <w:r>
        <w:rPr>
          <w:rFonts w:hint="eastAsia" w:ascii="仿宋" w:hAnsi="仿宋" w:eastAsia="仿宋"/>
          <w:sz w:val="36"/>
          <w:szCs w:val="36"/>
        </w:rPr>
        <w:t>立足学校实际，贯彻新理念，构建新格局</w:t>
      </w:r>
      <w:r>
        <w:rPr>
          <w:rFonts w:hint="eastAsia" w:ascii="仿宋" w:hAnsi="仿宋" w:eastAsia="仿宋"/>
          <w:sz w:val="36"/>
          <w:szCs w:val="36"/>
          <w:lang w:eastAsia="zh-CN"/>
        </w:rPr>
        <w:t>。深化落实“双减”政策，优化教育教学环境，强化师资队伍建设，全面提升教学质量，构建家校社协同育人机制，</w:t>
      </w:r>
      <w:r>
        <w:rPr>
          <w:rFonts w:hint="eastAsia" w:ascii="仿宋" w:hAnsi="仿宋" w:eastAsia="仿宋"/>
          <w:sz w:val="36"/>
          <w:szCs w:val="36"/>
        </w:rPr>
        <w:t>全面提升学生素养，推</w:t>
      </w:r>
      <w:r>
        <w:rPr>
          <w:rFonts w:hint="eastAsia" w:ascii="仿宋" w:hAnsi="仿宋" w:eastAsia="仿宋"/>
          <w:sz w:val="36"/>
          <w:szCs w:val="36"/>
          <w:lang w:eastAsia="zh-CN"/>
        </w:rPr>
        <w:t>动</w:t>
      </w:r>
      <w:r>
        <w:rPr>
          <w:rFonts w:hint="eastAsia" w:ascii="仿宋" w:hAnsi="仿宋" w:eastAsia="仿宋"/>
          <w:sz w:val="36"/>
          <w:szCs w:val="36"/>
        </w:rPr>
        <w:t>学校走上“</w:t>
      </w:r>
      <w:bookmarkStart w:id="3" w:name="OLE_LINK2"/>
      <w:r>
        <w:rPr>
          <w:rFonts w:hint="eastAsia" w:ascii="仿宋" w:hAnsi="仿宋" w:eastAsia="仿宋"/>
          <w:sz w:val="36"/>
          <w:szCs w:val="36"/>
        </w:rPr>
        <w:t>德育体系</w:t>
      </w:r>
      <w:r>
        <w:rPr>
          <w:rFonts w:hint="eastAsia" w:ascii="仿宋" w:hAnsi="仿宋" w:eastAsia="仿宋"/>
          <w:sz w:val="36"/>
          <w:szCs w:val="36"/>
          <w:lang w:eastAsia="zh-CN"/>
        </w:rPr>
        <w:t>化，课堂‘实巧’化，科研精细化，安全规范化，党建示范化</w:t>
      </w:r>
      <w:bookmarkStart w:id="4" w:name="OLE_LINK6"/>
      <w:r>
        <w:rPr>
          <w:rFonts w:hint="eastAsia" w:ascii="仿宋" w:hAnsi="仿宋" w:eastAsia="仿宋"/>
          <w:b w:val="0"/>
          <w:bCs w:val="0"/>
          <w:sz w:val="36"/>
          <w:szCs w:val="36"/>
          <w:lang w:eastAsia="zh-CN"/>
        </w:rPr>
        <w:t>，</w:t>
      </w:r>
      <w:bookmarkEnd w:id="4"/>
      <w:bookmarkStart w:id="5" w:name="OLE_LINK4"/>
      <w:bookmarkStart w:id="6" w:name="OLE_LINK5"/>
      <w:r>
        <w:rPr>
          <w:rFonts w:hint="eastAsia" w:ascii="仿宋" w:hAnsi="仿宋" w:eastAsia="仿宋"/>
          <w:b w:val="0"/>
          <w:bCs w:val="0"/>
          <w:sz w:val="36"/>
          <w:szCs w:val="36"/>
        </w:rPr>
        <w:t>文化</w:t>
      </w:r>
      <w:bookmarkEnd w:id="5"/>
      <w:r>
        <w:rPr>
          <w:rFonts w:hint="eastAsia" w:ascii="仿宋" w:hAnsi="仿宋" w:eastAsia="仿宋"/>
          <w:b w:val="0"/>
          <w:bCs w:val="0"/>
          <w:sz w:val="36"/>
          <w:szCs w:val="36"/>
        </w:rPr>
        <w:t>特色</w:t>
      </w:r>
      <w:bookmarkEnd w:id="3"/>
      <w:r>
        <w:rPr>
          <w:rFonts w:hint="eastAsia" w:ascii="仿宋" w:hAnsi="仿宋" w:eastAsia="仿宋"/>
          <w:b w:val="0"/>
          <w:bCs w:val="0"/>
          <w:sz w:val="36"/>
          <w:szCs w:val="36"/>
          <w:lang w:eastAsia="zh-CN"/>
        </w:rPr>
        <w:t>化</w:t>
      </w:r>
      <w:r>
        <w:rPr>
          <w:rFonts w:hint="eastAsia" w:ascii="仿宋" w:hAnsi="仿宋" w:eastAsia="仿宋"/>
          <w:b w:val="0"/>
          <w:bCs w:val="0"/>
          <w:sz w:val="36"/>
          <w:szCs w:val="36"/>
        </w:rPr>
        <w:t>”</w:t>
      </w:r>
      <w:bookmarkEnd w:id="6"/>
      <w:r>
        <w:rPr>
          <w:rFonts w:hint="eastAsia" w:ascii="仿宋" w:hAnsi="仿宋" w:eastAsia="仿宋"/>
          <w:sz w:val="36"/>
          <w:szCs w:val="36"/>
        </w:rPr>
        <w:t>的内涵发展之路。</w:t>
      </w:r>
    </w:p>
    <w:bookmarkEnd w:id="2"/>
    <w:p w14:paraId="1B8319BA">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ascii="黑体" w:hAnsi="黑体" w:eastAsia="黑体"/>
          <w:color w:val="FF0000"/>
          <w:sz w:val="36"/>
          <w:szCs w:val="36"/>
        </w:rPr>
      </w:pPr>
      <w:r>
        <w:rPr>
          <w:rFonts w:ascii="黑体" w:hAnsi="黑体" w:eastAsia="黑体"/>
          <w:sz w:val="36"/>
          <w:szCs w:val="36"/>
        </w:rPr>
        <w:t>二</w:t>
      </w:r>
      <w:r>
        <w:rPr>
          <w:rFonts w:hint="eastAsia" w:ascii="黑体" w:hAnsi="黑体" w:eastAsia="黑体"/>
          <w:sz w:val="36"/>
          <w:szCs w:val="36"/>
        </w:rPr>
        <w:t>、</w:t>
      </w:r>
      <w:r>
        <w:rPr>
          <w:rFonts w:ascii="黑体" w:hAnsi="黑体" w:eastAsia="黑体"/>
          <w:sz w:val="36"/>
          <w:szCs w:val="36"/>
        </w:rPr>
        <w:t>工作目标</w:t>
      </w:r>
    </w:p>
    <w:p w14:paraId="78244CEC">
      <w:pPr>
        <w:keepNext w:val="0"/>
        <w:keepLines w:val="0"/>
        <w:pageBreakBefore w:val="0"/>
        <w:widowControl w:val="0"/>
        <w:kinsoku/>
        <w:wordWrap/>
        <w:overflowPunct/>
        <w:topLinePunct w:val="0"/>
        <w:autoSpaceDE/>
        <w:autoSpaceDN/>
        <w:bidi w:val="0"/>
        <w:adjustRightInd/>
        <w:snapToGrid/>
        <w:spacing w:line="560" w:lineRule="exact"/>
        <w:ind w:firstLine="723" w:firstLineChars="200"/>
        <w:textAlignment w:val="auto"/>
        <w:rPr>
          <w:rFonts w:hint="eastAsia" w:ascii="仿宋" w:hAnsi="仿宋" w:eastAsia="仿宋" w:cs="仿宋"/>
          <w:sz w:val="36"/>
          <w:szCs w:val="36"/>
          <w:lang w:eastAsia="zh-CN"/>
        </w:rPr>
      </w:pPr>
      <w:bookmarkStart w:id="7" w:name="OLE_LINK7"/>
      <w:r>
        <w:rPr>
          <w:rFonts w:hint="eastAsia" w:ascii="仿宋" w:hAnsi="仿宋" w:eastAsia="仿宋" w:cs="仿宋"/>
          <w:b/>
          <w:bCs/>
          <w:sz w:val="36"/>
          <w:szCs w:val="36"/>
        </w:rPr>
        <w:t>1.</w:t>
      </w:r>
      <w:bookmarkEnd w:id="7"/>
      <w:r>
        <w:rPr>
          <w:rFonts w:hint="eastAsia" w:ascii="仿宋" w:hAnsi="仿宋" w:eastAsia="仿宋" w:cs="仿宋"/>
          <w:sz w:val="36"/>
          <w:szCs w:val="36"/>
        </w:rPr>
        <w:t>强化思想引领，树立德育新风尚</w:t>
      </w:r>
      <w:r>
        <w:rPr>
          <w:rFonts w:hint="eastAsia" w:ascii="仿宋" w:hAnsi="仿宋" w:eastAsia="仿宋" w:cs="仿宋"/>
          <w:sz w:val="36"/>
          <w:szCs w:val="36"/>
          <w:lang w:eastAsia="zh-CN"/>
        </w:rPr>
        <w:t>；</w:t>
      </w:r>
      <w:r>
        <w:rPr>
          <w:rFonts w:hint="eastAsia" w:ascii="仿宋" w:hAnsi="仿宋" w:eastAsia="仿宋" w:cs="仿宋"/>
          <w:sz w:val="36"/>
          <w:szCs w:val="36"/>
        </w:rPr>
        <w:t>优化德育体系，提升育人质量</w:t>
      </w:r>
      <w:r>
        <w:rPr>
          <w:rFonts w:hint="eastAsia" w:ascii="仿宋" w:hAnsi="仿宋" w:eastAsia="仿宋" w:cs="仿宋"/>
          <w:sz w:val="36"/>
          <w:szCs w:val="36"/>
          <w:lang w:val="en-US" w:eastAsia="zh-CN"/>
        </w:rPr>
        <w:t>；</w:t>
      </w:r>
      <w:r>
        <w:rPr>
          <w:rFonts w:hint="eastAsia" w:ascii="仿宋" w:hAnsi="仿宋" w:eastAsia="仿宋" w:cs="仿宋"/>
          <w:sz w:val="36"/>
          <w:szCs w:val="36"/>
        </w:rPr>
        <w:t>聚焦重点群体，实施精准德育</w:t>
      </w:r>
      <w:r>
        <w:rPr>
          <w:rFonts w:hint="eastAsia" w:ascii="仿宋" w:hAnsi="仿宋" w:eastAsia="仿宋" w:cs="仿宋"/>
          <w:sz w:val="36"/>
          <w:szCs w:val="36"/>
          <w:lang w:eastAsia="zh-CN"/>
        </w:rPr>
        <w:t>；</w:t>
      </w:r>
      <w:r>
        <w:rPr>
          <w:rFonts w:hint="eastAsia" w:ascii="仿宋" w:hAnsi="仿宋" w:eastAsia="仿宋" w:cs="仿宋"/>
          <w:sz w:val="36"/>
          <w:szCs w:val="36"/>
        </w:rPr>
        <w:t>创新德育活动，激发德育活力</w:t>
      </w:r>
      <w:r>
        <w:rPr>
          <w:rFonts w:hint="eastAsia" w:ascii="仿宋" w:hAnsi="仿宋" w:eastAsia="仿宋" w:cs="仿宋"/>
          <w:sz w:val="36"/>
          <w:szCs w:val="36"/>
          <w:lang w:eastAsia="zh-CN"/>
        </w:rPr>
        <w:t>。</w:t>
      </w:r>
    </w:p>
    <w:p w14:paraId="3D96A8F3">
      <w:pPr>
        <w:keepNext w:val="0"/>
        <w:keepLines w:val="0"/>
        <w:pageBreakBefore w:val="0"/>
        <w:widowControl w:val="0"/>
        <w:kinsoku/>
        <w:wordWrap/>
        <w:overflowPunct/>
        <w:topLinePunct w:val="0"/>
        <w:autoSpaceDE/>
        <w:autoSpaceDN/>
        <w:bidi w:val="0"/>
        <w:adjustRightInd/>
        <w:snapToGrid/>
        <w:spacing w:line="560" w:lineRule="exact"/>
        <w:ind w:firstLine="723" w:firstLineChars="200"/>
        <w:textAlignment w:val="auto"/>
        <w:rPr>
          <w:rFonts w:hint="eastAsia" w:ascii="仿宋" w:hAnsi="仿宋" w:eastAsia="仿宋" w:cs="仿宋"/>
          <w:sz w:val="36"/>
          <w:szCs w:val="36"/>
          <w:lang w:val="en-US" w:eastAsia="zh-CN"/>
        </w:rPr>
      </w:pPr>
      <w:bookmarkStart w:id="8" w:name="OLE_LINK8"/>
      <w:r>
        <w:rPr>
          <w:rFonts w:hint="eastAsia" w:ascii="仿宋" w:hAnsi="仿宋" w:eastAsia="仿宋" w:cs="仿宋"/>
          <w:b/>
          <w:bCs/>
          <w:sz w:val="36"/>
          <w:szCs w:val="36"/>
          <w:lang w:val="en-US" w:eastAsia="zh-CN"/>
        </w:rPr>
        <w:t>2.</w:t>
      </w:r>
      <w:bookmarkEnd w:id="8"/>
      <w:r>
        <w:rPr>
          <w:rFonts w:hint="eastAsia" w:ascii="仿宋" w:hAnsi="仿宋" w:eastAsia="仿宋" w:cs="仿宋"/>
          <w:sz w:val="36"/>
          <w:szCs w:val="36"/>
          <w:lang w:val="en-US" w:eastAsia="zh-CN"/>
        </w:rPr>
        <w:t>立足成绩，赋能学习能力提升；活动锤炼，赋能教师专业成长；规范管理，保障教育教学规范有序。</w:t>
      </w:r>
    </w:p>
    <w:p w14:paraId="744175C1">
      <w:pPr>
        <w:keepNext w:val="0"/>
        <w:keepLines w:val="0"/>
        <w:pageBreakBefore w:val="0"/>
        <w:widowControl w:val="0"/>
        <w:kinsoku/>
        <w:wordWrap/>
        <w:overflowPunct/>
        <w:topLinePunct w:val="0"/>
        <w:autoSpaceDE/>
        <w:autoSpaceDN/>
        <w:bidi w:val="0"/>
        <w:adjustRightInd/>
        <w:snapToGrid/>
        <w:spacing w:line="560" w:lineRule="exact"/>
        <w:ind w:firstLine="723" w:firstLineChars="200"/>
        <w:textAlignment w:val="auto"/>
        <w:rPr>
          <w:rFonts w:hint="eastAsia" w:ascii="仿宋" w:hAnsi="仿宋" w:eastAsia="仿宋" w:cs="仿宋"/>
          <w:sz w:val="36"/>
          <w:szCs w:val="36"/>
          <w:lang w:val="en-US" w:eastAsia="zh-CN"/>
        </w:rPr>
      </w:pPr>
      <w:bookmarkStart w:id="9" w:name="OLE_LINK11"/>
      <w:r>
        <w:rPr>
          <w:rFonts w:hint="eastAsia" w:ascii="仿宋" w:hAnsi="仿宋" w:eastAsia="仿宋" w:cs="仿宋"/>
          <w:b/>
          <w:bCs/>
          <w:sz w:val="36"/>
          <w:szCs w:val="36"/>
          <w:lang w:val="en-US" w:eastAsia="zh-CN"/>
        </w:rPr>
        <w:t>3.</w:t>
      </w:r>
      <w:bookmarkEnd w:id="9"/>
      <w:bookmarkStart w:id="10" w:name="OLE_LINK10"/>
      <w:r>
        <w:rPr>
          <w:rFonts w:hint="eastAsia" w:ascii="仿宋" w:hAnsi="仿宋" w:eastAsia="仿宋" w:cs="仿宋"/>
          <w:sz w:val="36"/>
          <w:szCs w:val="36"/>
          <w:lang w:val="en-US" w:eastAsia="zh-CN"/>
        </w:rPr>
        <w:t>稳步推进</w:t>
      </w:r>
      <w:bookmarkEnd w:id="10"/>
      <w:r>
        <w:rPr>
          <w:rFonts w:hint="eastAsia" w:ascii="仿宋" w:hAnsi="仿宋" w:eastAsia="仿宋" w:cs="仿宋"/>
          <w:sz w:val="36"/>
          <w:szCs w:val="36"/>
          <w:lang w:val="en-US" w:eastAsia="zh-CN"/>
        </w:rPr>
        <w:t>课题研究，完成在研市级、区级课题结题和中期报告、顺利进行2024年度区级课题申报、立项；构建论坛式校本培训体系，丰富教师培训内容；组建青年教师发展共同体、骨干教师成长共同体，完善“三阶五环”教师梯队建设；</w:t>
      </w:r>
      <w:bookmarkStart w:id="11" w:name="OLE_LINK12"/>
      <w:r>
        <w:rPr>
          <w:rFonts w:hint="eastAsia" w:ascii="仿宋" w:hAnsi="仿宋" w:eastAsia="仿宋" w:cs="仿宋"/>
          <w:sz w:val="36"/>
          <w:szCs w:val="36"/>
          <w:lang w:val="en-US" w:eastAsia="zh-CN"/>
        </w:rPr>
        <w:t>精细化</w:t>
      </w:r>
      <w:bookmarkEnd w:id="11"/>
      <w:r>
        <w:rPr>
          <w:rFonts w:hint="eastAsia" w:ascii="仿宋" w:hAnsi="仿宋" w:eastAsia="仿宋" w:cs="仿宋"/>
          <w:sz w:val="36"/>
          <w:szCs w:val="36"/>
          <w:lang w:val="en-US" w:eastAsia="zh-CN"/>
        </w:rPr>
        <w:t>材料提报，高质量完成各级材料提报、评选，力争评选，各类统计、上报。</w:t>
      </w:r>
    </w:p>
    <w:p w14:paraId="345BFE19">
      <w:pPr>
        <w:keepNext w:val="0"/>
        <w:keepLines w:val="0"/>
        <w:pageBreakBefore w:val="0"/>
        <w:widowControl w:val="0"/>
        <w:kinsoku/>
        <w:wordWrap/>
        <w:overflowPunct/>
        <w:topLinePunct w:val="0"/>
        <w:autoSpaceDE/>
        <w:autoSpaceDN/>
        <w:bidi w:val="0"/>
        <w:adjustRightInd/>
        <w:snapToGrid/>
        <w:spacing w:line="560" w:lineRule="exact"/>
        <w:ind w:firstLine="723" w:firstLineChars="200"/>
        <w:textAlignment w:val="auto"/>
        <w:rPr>
          <w:rFonts w:hint="eastAsia" w:ascii="仿宋" w:hAnsi="仿宋" w:eastAsia="仿宋" w:cs="仿宋"/>
          <w:sz w:val="36"/>
          <w:szCs w:val="36"/>
          <w:lang w:val="en-US" w:eastAsia="zh-CN"/>
        </w:rPr>
      </w:pPr>
      <w:bookmarkStart w:id="12" w:name="OLE_LINK13"/>
      <w:r>
        <w:rPr>
          <w:rFonts w:hint="eastAsia" w:ascii="仿宋" w:hAnsi="仿宋" w:eastAsia="仿宋" w:cs="仿宋"/>
          <w:b/>
          <w:bCs/>
          <w:sz w:val="36"/>
          <w:szCs w:val="36"/>
          <w:lang w:val="en-US" w:eastAsia="zh-CN"/>
        </w:rPr>
        <w:t>4.</w:t>
      </w:r>
      <w:bookmarkEnd w:id="12"/>
      <w:r>
        <w:rPr>
          <w:rFonts w:hint="eastAsia" w:ascii="仿宋" w:hAnsi="仿宋" w:eastAsia="仿宋" w:cs="仿宋"/>
          <w:sz w:val="36"/>
          <w:szCs w:val="36"/>
          <w:lang w:val="en-US" w:eastAsia="zh-CN"/>
        </w:rPr>
        <w:t>深化思想建设，持续强化理论武装；严格落实制度，提升支部管理质量；加强党建引领，构建党建+融合体系。</w:t>
      </w:r>
    </w:p>
    <w:p w14:paraId="53725624">
      <w:pPr>
        <w:keepNext w:val="0"/>
        <w:keepLines w:val="0"/>
        <w:pageBreakBefore w:val="0"/>
        <w:widowControl w:val="0"/>
        <w:kinsoku/>
        <w:wordWrap/>
        <w:overflowPunct/>
        <w:topLinePunct w:val="0"/>
        <w:autoSpaceDE/>
        <w:autoSpaceDN/>
        <w:bidi w:val="0"/>
        <w:adjustRightInd/>
        <w:snapToGrid/>
        <w:spacing w:line="560" w:lineRule="exact"/>
        <w:ind w:firstLine="723" w:firstLineChars="200"/>
        <w:textAlignment w:val="auto"/>
        <w:rPr>
          <w:rFonts w:hint="default" w:ascii="仿宋" w:hAnsi="仿宋" w:eastAsia="仿宋" w:cs="仿宋"/>
          <w:sz w:val="36"/>
          <w:szCs w:val="36"/>
          <w:lang w:val="en-US" w:eastAsia="zh-CN"/>
        </w:rPr>
      </w:pPr>
      <w:bookmarkStart w:id="13" w:name="OLE_LINK15"/>
      <w:r>
        <w:rPr>
          <w:rFonts w:hint="eastAsia" w:ascii="仿宋" w:hAnsi="仿宋" w:eastAsia="仿宋" w:cs="仿宋"/>
          <w:b/>
          <w:bCs/>
          <w:sz w:val="36"/>
          <w:szCs w:val="36"/>
          <w:lang w:val="en-US" w:eastAsia="zh-CN"/>
        </w:rPr>
        <w:t>5.</w:t>
      </w:r>
      <w:bookmarkEnd w:id="13"/>
      <w:r>
        <w:rPr>
          <w:rFonts w:hint="default" w:ascii="仿宋" w:hAnsi="仿宋" w:eastAsia="仿宋" w:cs="仿宋"/>
          <w:sz w:val="36"/>
          <w:szCs w:val="36"/>
          <w:lang w:val="en-US" w:eastAsia="zh-CN"/>
        </w:rPr>
        <w:t>完善各种安全规章制度，健全安全工作组织机构，落实签订安全职责状</w:t>
      </w:r>
      <w:r>
        <w:rPr>
          <w:rFonts w:hint="eastAsia" w:ascii="仿宋" w:hAnsi="仿宋" w:eastAsia="仿宋" w:cs="仿宋"/>
          <w:sz w:val="36"/>
          <w:szCs w:val="36"/>
          <w:lang w:val="en-US" w:eastAsia="zh-CN"/>
        </w:rPr>
        <w:t>；</w:t>
      </w:r>
      <w:r>
        <w:rPr>
          <w:rFonts w:hint="default" w:ascii="仿宋" w:hAnsi="仿宋" w:eastAsia="仿宋" w:cs="仿宋"/>
          <w:sz w:val="36"/>
          <w:szCs w:val="36"/>
          <w:lang w:val="en-US" w:eastAsia="zh-CN"/>
        </w:rPr>
        <w:t>加强法制教育、自防自救教育与防火防灾教育，食品卫生与健康教育、防欺凌教育等，增强广大师生的防范意识，提高自我保护和自救潜力</w:t>
      </w:r>
      <w:r>
        <w:rPr>
          <w:rFonts w:hint="eastAsia" w:ascii="仿宋" w:hAnsi="仿宋" w:eastAsia="仿宋" w:cs="仿宋"/>
          <w:sz w:val="36"/>
          <w:szCs w:val="36"/>
          <w:lang w:val="en-US" w:eastAsia="zh-CN"/>
        </w:rPr>
        <w:t>；</w:t>
      </w:r>
      <w:r>
        <w:rPr>
          <w:rFonts w:hint="default" w:ascii="仿宋" w:hAnsi="仿宋" w:eastAsia="仿宋" w:cs="仿宋"/>
          <w:sz w:val="36"/>
          <w:szCs w:val="36"/>
          <w:lang w:val="en-US" w:eastAsia="zh-CN"/>
        </w:rPr>
        <w:t>严格控制一般事故;不发生较大及以上火灾事故和拥挤踩踏事故;不发生群体性食物中毒事故;不发生聚集性传染病疫情;防止发生溺水事故。</w:t>
      </w:r>
    </w:p>
    <w:p w14:paraId="26F11044">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720" w:firstLineChars="200"/>
        <w:textAlignment w:val="auto"/>
        <w:rPr>
          <w:rFonts w:ascii="黑体" w:hAnsi="黑体" w:eastAsia="黑体"/>
          <w:sz w:val="36"/>
          <w:szCs w:val="36"/>
        </w:rPr>
      </w:pPr>
      <w:r>
        <w:rPr>
          <w:rFonts w:hint="eastAsia" w:ascii="黑体" w:hAnsi="黑体" w:eastAsia="黑体"/>
          <w:sz w:val="36"/>
          <w:szCs w:val="36"/>
          <w:lang w:val="en-US" w:eastAsia="zh-CN"/>
        </w:rPr>
        <w:t>工作措施</w:t>
      </w:r>
    </w:p>
    <w:p w14:paraId="09EC314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楷体_GB2312" w:hAnsi="楷体_GB2312" w:eastAsia="楷体_GB2312" w:cs="楷体_GB2312"/>
          <w:sz w:val="36"/>
          <w:szCs w:val="36"/>
          <w:lang w:val="en-US" w:eastAsia="zh-CN"/>
        </w:rPr>
      </w:pPr>
      <w:bookmarkStart w:id="14" w:name="OLE_LINK16"/>
      <w:r>
        <w:rPr>
          <w:rFonts w:hint="eastAsia" w:ascii="楷体_GB2312" w:hAnsi="楷体_GB2312" w:eastAsia="楷体_GB2312" w:cs="楷体_GB2312"/>
          <w:sz w:val="36"/>
          <w:szCs w:val="36"/>
          <w:lang w:val="en-US" w:eastAsia="zh-CN"/>
        </w:rPr>
        <w:t>（一）以德立校，助力德育体系化建设</w:t>
      </w:r>
    </w:p>
    <w:bookmarkEnd w:id="14"/>
    <w:p w14:paraId="16EFEE2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default" w:ascii="仿宋" w:hAnsi="仿宋" w:eastAsia="仿宋" w:cs="仿宋"/>
          <w:sz w:val="36"/>
          <w:szCs w:val="36"/>
          <w:lang w:val="en-US" w:eastAsia="zh-CN"/>
        </w:rPr>
      </w:pPr>
      <w:bookmarkStart w:id="15" w:name="OLE_LINK9"/>
      <w:r>
        <w:rPr>
          <w:rFonts w:hint="eastAsia" w:ascii="仿宋" w:hAnsi="仿宋" w:eastAsia="仿宋" w:cs="仿宋"/>
          <w:sz w:val="36"/>
          <w:szCs w:val="36"/>
          <w:lang w:val="en-US" w:eastAsia="zh-CN"/>
        </w:rPr>
        <w:t>1.构建系统化、</w:t>
      </w:r>
      <w:bookmarkStart w:id="16" w:name="OLE_LINK3"/>
      <w:r>
        <w:rPr>
          <w:rFonts w:hint="eastAsia" w:ascii="仿宋" w:hAnsi="仿宋" w:eastAsia="仿宋" w:cs="仿宋"/>
          <w:sz w:val="36"/>
          <w:szCs w:val="36"/>
          <w:lang w:val="en-US" w:eastAsia="zh-CN"/>
        </w:rPr>
        <w:t>阶梯化德育课程体系</w:t>
      </w:r>
      <w:bookmarkEnd w:id="16"/>
      <w:r>
        <w:rPr>
          <w:rFonts w:hint="eastAsia" w:ascii="仿宋" w:hAnsi="仿宋" w:eastAsia="仿宋" w:cs="仿宋"/>
          <w:sz w:val="36"/>
          <w:szCs w:val="36"/>
          <w:lang w:val="en-US" w:eastAsia="zh-CN"/>
        </w:rPr>
        <w:t>。从“探索+听说读写”五方面进行结构化建设，形成“五维课程”，</w:t>
      </w:r>
      <w:bookmarkEnd w:id="15"/>
      <w:r>
        <w:rPr>
          <w:rFonts w:hint="eastAsia" w:ascii="仿宋" w:hAnsi="仿宋" w:eastAsia="仿宋" w:cs="仿宋"/>
          <w:sz w:val="36"/>
          <w:szCs w:val="36"/>
          <w:lang w:val="en-US" w:eastAsia="zh-CN"/>
        </w:rPr>
        <w:t>即理想信念、核心价值观、传统文化、生态文明、心理健康五个方面。</w:t>
      </w:r>
    </w:p>
    <w:p w14:paraId="0D2BB29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2.构建全面的三全育人模式，实现层级、维度评价。基于学生综合素质评价平台内容，完善搭石成桥德育评价体系，从博实、茁实、敦实、雅实四个层面12个维度评价“实巧少年”。</w:t>
      </w:r>
    </w:p>
    <w:p w14:paraId="26F0D25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3.基于各类比赛，通过全覆盖、寻特色形成学校各级各类比赛团队，在训练中通过基础+创新争创新突破。</w:t>
      </w:r>
    </w:p>
    <w:p w14:paraId="3E5A624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楷体_GB2312" w:hAnsi="楷体_GB2312" w:eastAsia="楷体_GB2312" w:cs="楷体_GB2312"/>
          <w:sz w:val="36"/>
          <w:szCs w:val="36"/>
          <w:lang w:val="en-US" w:eastAsia="zh-CN"/>
        </w:rPr>
      </w:pPr>
      <w:bookmarkStart w:id="17" w:name="OLE_LINK17"/>
      <w:r>
        <w:rPr>
          <w:rFonts w:hint="eastAsia" w:ascii="楷体_GB2312" w:hAnsi="楷体_GB2312" w:eastAsia="楷体_GB2312" w:cs="楷体_GB2312"/>
          <w:sz w:val="36"/>
          <w:szCs w:val="36"/>
          <w:lang w:val="en-US" w:eastAsia="zh-CN"/>
        </w:rPr>
        <w:t>（二）以质增效，全力构建“实巧”课堂体系</w:t>
      </w:r>
    </w:p>
    <w:p w14:paraId="3EAEEA6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bookmarkStart w:id="18" w:name="OLE_LINK19"/>
      <w:r>
        <w:rPr>
          <w:rFonts w:hint="eastAsia" w:ascii="仿宋" w:hAnsi="仿宋" w:eastAsia="仿宋" w:cs="仿宋"/>
          <w:sz w:val="36"/>
          <w:szCs w:val="36"/>
          <w:lang w:val="en-US" w:eastAsia="zh-CN"/>
        </w:rPr>
        <w:t>1.高效课堂支撑质量提升</w:t>
      </w:r>
    </w:p>
    <w:bookmarkEnd w:id="18"/>
    <w:p w14:paraId="27BA869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积极实施课堂教学深度变革，全力构建“实巧课堂”，营造“课堂即生长”的理念，让教学回归学科核心素养。各学科教师围绕学生课前预习能力的培养和课堂学习能力的提升，认真研究课程标准，深挖教材内涵，每月开展教学论坛，以理论提升促行动跟进，全力打造以“学生参与兴浓、小组合作情真、展示思维度深”为特点的课堂。</w:t>
      </w:r>
      <w:bookmarkEnd w:id="17"/>
    </w:p>
    <w:p w14:paraId="0E662EF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2.实效教研保障质量提升</w:t>
      </w:r>
    </w:p>
    <w:p w14:paraId="39CEE08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default" w:ascii="仿宋" w:hAnsi="仿宋" w:eastAsia="仿宋" w:cs="仿宋"/>
          <w:sz w:val="36"/>
          <w:szCs w:val="36"/>
          <w:lang w:val="en-US" w:eastAsia="zh-CN"/>
        </w:rPr>
      </w:pPr>
      <w:r>
        <w:rPr>
          <w:rFonts w:hint="eastAsia" w:ascii="仿宋" w:hAnsi="仿宋" w:eastAsia="仿宋" w:cs="仿宋"/>
          <w:sz w:val="36"/>
          <w:szCs w:val="36"/>
          <w:lang w:val="en-US" w:eastAsia="zh-CN"/>
        </w:rPr>
        <w:t>各学科牢抓学生课前预习、小组合作、展示交流等细节，通主题式教研活动，有计划、有针对性地将细节的研究与集体备课结合起来、与学科特点学段特色结合起来。备课组以各学科大单元为研究单位，开展“大单元任务型”集体备课模式（集体备课评价表）；教研组以教师公开课为中心，在此基础上开展说课、评课、优秀设计案例评选、优秀作业设计评选等“课+X”的教研活动。明确要求各组做到“五个一”，即每周统一教学进度，精心设计每一天的学生作业，每周备一份精品教案，每月开展一次学科素养评价，每月打磨一份精品试题。</w:t>
      </w:r>
    </w:p>
    <w:p w14:paraId="4119519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3.课堂活动聚焦质量提升</w:t>
      </w:r>
    </w:p>
    <w:p w14:paraId="0DF31A9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立足 “五课式”教学研讨活动，促进课堂逐渐走向细节化、习惯化和规范化。一是“示范课”，学期初由骨干教师执教示范课，重点是听课、评课，理论学习和推广；二是“研讨课”，通过“教学研讨日”，上午安排主题式研讨课，下午点评交流，相互提高；三是“推门课”，通过值班校干的蹲听课和日常巡课，以“课改问题单”的形式发现和解决课堂易见和常见的微问题；四是“展示课”，每学期人人准备一节代表自己最高水平的观摩课；五是“优质课”，学年末举行优质课，评选“课堂教学之星”。</w:t>
      </w:r>
    </w:p>
    <w:p w14:paraId="398C8BA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楷体_GB2312" w:hAnsi="楷体_GB2312" w:eastAsia="楷体_GB2312" w:cs="楷体_GB2312"/>
          <w:sz w:val="36"/>
          <w:szCs w:val="36"/>
          <w:lang w:val="en-US" w:eastAsia="zh-CN"/>
        </w:rPr>
      </w:pPr>
      <w:bookmarkStart w:id="19" w:name="OLE_LINK22"/>
      <w:r>
        <w:rPr>
          <w:rFonts w:hint="eastAsia" w:ascii="楷体_GB2312" w:hAnsi="楷体_GB2312" w:eastAsia="楷体_GB2312" w:cs="楷体_GB2312"/>
          <w:sz w:val="36"/>
          <w:szCs w:val="36"/>
          <w:lang w:val="en-US" w:eastAsia="zh-CN"/>
        </w:rPr>
        <w:t>（三）</w:t>
      </w:r>
      <w:bookmarkEnd w:id="19"/>
      <w:r>
        <w:rPr>
          <w:rFonts w:hint="eastAsia" w:ascii="楷体_GB2312" w:hAnsi="楷体_GB2312" w:eastAsia="楷体_GB2312" w:cs="楷体_GB2312"/>
          <w:sz w:val="36"/>
          <w:szCs w:val="36"/>
          <w:lang w:val="en-US" w:eastAsia="zh-CN"/>
        </w:rPr>
        <w:t>以研促教，赋能教师专业成长</w:t>
      </w:r>
    </w:p>
    <w:p w14:paraId="528F2826">
      <w:pPr>
        <w:keepNext w:val="0"/>
        <w:keepLines w:val="0"/>
        <w:pageBreakBefore w:val="0"/>
        <w:widowControl w:val="0"/>
        <w:numPr>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1.课题引领，赋能科研水平提升</w:t>
      </w:r>
    </w:p>
    <w:p w14:paraId="36A17BE8">
      <w:pPr>
        <w:keepNext w:val="0"/>
        <w:keepLines w:val="0"/>
        <w:pageBreakBefore w:val="0"/>
        <w:widowControl w:val="0"/>
        <w:numPr>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bookmarkStart w:id="20" w:name="OLE_LINK20"/>
      <w:r>
        <w:rPr>
          <w:rFonts w:hint="eastAsia" w:ascii="仿宋" w:hAnsi="仿宋" w:eastAsia="仿宋" w:cs="仿宋"/>
          <w:sz w:val="36"/>
          <w:szCs w:val="36"/>
          <w:lang w:val="en-US" w:eastAsia="zh-CN"/>
        </w:rPr>
        <w:t>(1)</w:t>
      </w:r>
      <w:bookmarkEnd w:id="20"/>
      <w:r>
        <w:rPr>
          <w:rFonts w:hint="eastAsia" w:ascii="仿宋" w:hAnsi="仿宋" w:eastAsia="仿宋" w:cs="仿宋"/>
          <w:sz w:val="36"/>
          <w:szCs w:val="36"/>
          <w:lang w:val="en-US" w:eastAsia="zh-CN"/>
        </w:rPr>
        <w:t>组建课题研究团队，开展常规教学研究，及时梳理研究过程材料，积极进行成果推广。</w:t>
      </w:r>
    </w:p>
    <w:p w14:paraId="083E1B3E">
      <w:pPr>
        <w:keepNext w:val="0"/>
        <w:keepLines w:val="0"/>
        <w:pageBreakBefore w:val="0"/>
        <w:widowControl w:val="0"/>
        <w:numPr>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bookmarkStart w:id="21" w:name="OLE_LINK21"/>
      <w:r>
        <w:rPr>
          <w:rFonts w:hint="eastAsia" w:ascii="仿宋" w:hAnsi="仿宋" w:eastAsia="仿宋" w:cs="仿宋"/>
          <w:sz w:val="36"/>
          <w:szCs w:val="36"/>
          <w:lang w:val="en-US" w:eastAsia="zh-CN"/>
        </w:rPr>
        <w:t>(2)</w:t>
      </w:r>
      <w:bookmarkEnd w:id="21"/>
      <w:r>
        <w:rPr>
          <w:rFonts w:hint="eastAsia" w:ascii="仿宋" w:hAnsi="仿宋" w:eastAsia="仿宋" w:cs="仿宋"/>
          <w:sz w:val="36"/>
          <w:szCs w:val="36"/>
          <w:lang w:val="en-US" w:eastAsia="zh-CN"/>
        </w:rPr>
        <w:t>设立教师专业成长基金，引领青年教师开展小课题、区级课题研究，名师承担省市级课题研究任务，提升青年教师和名师团队的整体理论素养。</w:t>
      </w:r>
    </w:p>
    <w:p w14:paraId="5D6AAE9F">
      <w:pPr>
        <w:keepNext w:val="0"/>
        <w:keepLines w:val="0"/>
        <w:pageBreakBefore w:val="0"/>
        <w:widowControl w:val="0"/>
        <w:numPr>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(3)通过名师示范和小课题研究，有针对性地加强对骨干教师的指导，提升青年教师、骨干教师科研水平。</w:t>
      </w:r>
    </w:p>
    <w:p w14:paraId="64B4F087">
      <w:pPr>
        <w:keepNext w:val="0"/>
        <w:keepLines w:val="0"/>
        <w:pageBreakBefore w:val="0"/>
        <w:widowControl w:val="0"/>
        <w:numPr>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2.团队协作助力教师专业成长</w:t>
      </w:r>
    </w:p>
    <w:p w14:paraId="216639BF">
      <w:pPr>
        <w:keepNext w:val="0"/>
        <w:keepLines w:val="0"/>
        <w:pageBreakBefore w:val="0"/>
        <w:widowControl w:val="0"/>
        <w:numPr>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(1)以教研组为单位，根据各级要求，按时组织学科组教师参加各级各类培训、网络研修，由教研组长收集过程材料。</w:t>
      </w:r>
    </w:p>
    <w:p w14:paraId="227197AB">
      <w:pPr>
        <w:keepNext w:val="0"/>
        <w:keepLines w:val="0"/>
        <w:pageBreakBefore w:val="0"/>
        <w:widowControl w:val="0"/>
        <w:numPr>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(2)构建“论坛式”校本培训体系，多主题分层次开展教师培训，发挥名师、骨干教师引领作用，辐射全体教师，提升教师素质。</w:t>
      </w:r>
    </w:p>
    <w:p w14:paraId="58B6CA05">
      <w:pPr>
        <w:keepNext w:val="0"/>
        <w:keepLines w:val="0"/>
        <w:pageBreakBefore w:val="0"/>
        <w:widowControl w:val="0"/>
        <w:numPr>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bookmarkStart w:id="22" w:name="OLE_LINK23"/>
      <w:r>
        <w:rPr>
          <w:rFonts w:hint="eastAsia" w:ascii="仿宋" w:hAnsi="仿宋" w:eastAsia="仿宋" w:cs="仿宋"/>
          <w:sz w:val="36"/>
          <w:szCs w:val="36"/>
          <w:lang w:val="en-US" w:eastAsia="zh-CN"/>
        </w:rPr>
        <w:t>(3)</w:t>
      </w:r>
      <w:bookmarkEnd w:id="22"/>
      <w:r>
        <w:rPr>
          <w:rFonts w:hint="eastAsia" w:ascii="仿宋" w:hAnsi="仿宋" w:eastAsia="仿宋" w:cs="仿宋"/>
          <w:sz w:val="36"/>
          <w:szCs w:val="36"/>
          <w:lang w:val="en-US" w:eastAsia="zh-CN"/>
        </w:rPr>
        <w:t>制定《名师评选及考核办法》，成立“骨干教师成长共同体”和“青年教师发展共同体”两个团队，构建“青年－骨干－名师”为主线的教师专业成长梯队，以高质量的师资队伍助力教学质量提升。</w:t>
      </w:r>
    </w:p>
    <w:p w14:paraId="7424DF5F">
      <w:pPr>
        <w:keepNext w:val="0"/>
        <w:keepLines w:val="0"/>
        <w:pageBreakBefore w:val="0"/>
        <w:widowControl w:val="0"/>
        <w:numPr>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(4)实施青蓝工程，组建师徒质量共同体，加快青年教师成长，促其在区市公开课、优质课比赛等活动中崭露头角。</w:t>
      </w:r>
    </w:p>
    <w:p w14:paraId="090C21BE">
      <w:pPr>
        <w:keepNext w:val="0"/>
        <w:keepLines w:val="0"/>
        <w:pageBreakBefore w:val="0"/>
        <w:widowControl w:val="0"/>
        <w:numPr>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3.细化常规工作，助力工作高效</w:t>
      </w:r>
    </w:p>
    <w:p w14:paraId="0D2E13ED">
      <w:pPr>
        <w:keepNext w:val="0"/>
        <w:keepLines w:val="0"/>
        <w:pageBreakBefore w:val="0"/>
        <w:widowControl w:val="0"/>
        <w:numPr>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常规统计工作精细化，及时建立表格，各项获奖及时归档统计，并根据各级要求进行细化梳理，确保无误。</w:t>
      </w:r>
    </w:p>
    <w:p w14:paraId="62DAA05D">
      <w:pPr>
        <w:keepNext w:val="0"/>
        <w:keepLines w:val="0"/>
        <w:pageBreakBefore w:val="0"/>
        <w:widowControl w:val="0"/>
        <w:numPr>
          <w:numId w:val="0"/>
        </w:numPr>
        <w:kinsoku/>
        <w:wordWrap/>
        <w:overflowPunct/>
        <w:topLinePunct w:val="0"/>
        <w:autoSpaceDE/>
        <w:autoSpaceDN/>
        <w:bidi w:val="0"/>
        <w:adjustRightInd/>
        <w:snapToGrid/>
        <w:spacing w:line="560" w:lineRule="exact"/>
        <w:ind w:firstLine="720" w:firstLineChars="200"/>
        <w:textAlignment w:val="auto"/>
        <w:rPr>
          <w:rFonts w:hint="eastAsia" w:ascii="楷体_GB2312" w:hAnsi="楷体_GB2312" w:eastAsia="楷体_GB2312" w:cs="楷体_GB2312"/>
          <w:sz w:val="36"/>
          <w:szCs w:val="36"/>
          <w:lang w:val="en-US" w:eastAsia="zh-CN"/>
        </w:rPr>
      </w:pPr>
      <w:r>
        <w:rPr>
          <w:rFonts w:hint="eastAsia" w:ascii="楷体_GB2312" w:hAnsi="楷体_GB2312" w:eastAsia="楷体_GB2312" w:cs="楷体_GB2312"/>
          <w:sz w:val="36"/>
          <w:szCs w:val="36"/>
          <w:lang w:val="en-US" w:eastAsia="zh-CN"/>
        </w:rPr>
        <w:t>（四）以红领航，推动党建业务融合发展</w:t>
      </w:r>
    </w:p>
    <w:p w14:paraId="5AE9B24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1.继续将学习贯彻习近平新时代中国特色社会主义思想作为首要政治任务，深入学习宣传贯彻党的二十届三中全会精神。通过党支部理论学习中心组学习、支部“三会一课”、主题党日等多种形式，推动党员干部学深悟透、融会贯通。</w:t>
      </w:r>
    </w:p>
    <w:p w14:paraId="250DC3E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2.加强党员教育管理。严格发展党员程序，注重在优秀青年和业务骨干中发展党员。根据党员量化管理考核办法，严肃党员学习活动纪律。</w:t>
      </w:r>
    </w:p>
    <w:p w14:paraId="661D165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3.围绕党建创新项目和党员非党员结对活动促进党建业务深度融合。</w:t>
      </w:r>
    </w:p>
    <w:p w14:paraId="10D347B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楷体_GB2312" w:hAnsi="楷体_GB2312" w:eastAsia="楷体_GB2312" w:cs="楷体_GB2312"/>
          <w:sz w:val="36"/>
          <w:szCs w:val="36"/>
          <w:lang w:val="en-US" w:eastAsia="zh-CN"/>
        </w:rPr>
      </w:pPr>
      <w:bookmarkStart w:id="23" w:name="OLE_LINK27"/>
      <w:r>
        <w:rPr>
          <w:rFonts w:hint="eastAsia" w:ascii="楷体_GB2312" w:hAnsi="楷体_GB2312" w:eastAsia="楷体_GB2312" w:cs="楷体_GB2312"/>
          <w:sz w:val="36"/>
          <w:szCs w:val="36"/>
          <w:lang w:val="en-US" w:eastAsia="zh-CN"/>
        </w:rPr>
        <w:t>（五）以实护航，全面筑牢安全防线</w:t>
      </w:r>
    </w:p>
    <w:p w14:paraId="548C455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1.扎</w:t>
      </w:r>
      <w:bookmarkEnd w:id="23"/>
      <w:r>
        <w:rPr>
          <w:rFonts w:hint="eastAsia" w:ascii="仿宋" w:hAnsi="仿宋" w:eastAsia="仿宋" w:cs="仿宋"/>
          <w:sz w:val="36"/>
          <w:szCs w:val="36"/>
          <w:lang w:val="en-US" w:eastAsia="zh-CN"/>
        </w:rPr>
        <w:t>实检查校舍和教育教学设备。加强对教室、实验室、餐厅、电路、消毒设备、消防、照明和体育设施的检查，及时更换不符合安全要求或已损坏的设备。严格执行安全工作检查制度，做到定期、不定期对校舍、教室和校园周边状况进行检查，特别是雨季、雪天，发现隐患要及时排除。切实加强校产安全管理，贵重物品和设施要加强人防、物防和技防，加强学校特种设备的维护和安全管理。</w:t>
      </w:r>
    </w:p>
    <w:p w14:paraId="44F1CBA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2.</w:t>
      </w:r>
      <w:bookmarkStart w:id="24" w:name="OLE_LINK25"/>
      <w:r>
        <w:rPr>
          <w:rFonts w:hint="eastAsia" w:ascii="仿宋" w:hAnsi="仿宋" w:eastAsia="仿宋" w:cs="仿宋"/>
          <w:sz w:val="36"/>
          <w:szCs w:val="36"/>
          <w:lang w:val="en-US" w:eastAsia="zh-CN"/>
        </w:rPr>
        <w:t>切实</w:t>
      </w:r>
      <w:bookmarkEnd w:id="24"/>
      <w:r>
        <w:rPr>
          <w:rFonts w:hint="eastAsia" w:ascii="仿宋" w:hAnsi="仿宋" w:eastAsia="仿宋" w:cs="仿宋"/>
          <w:sz w:val="36"/>
          <w:szCs w:val="36"/>
          <w:lang w:val="en-US" w:eastAsia="zh-CN"/>
        </w:rPr>
        <w:t>加强安全教育和安全防范。利用开学“第一课”对师生进行安全教育，要将生命安全教育、防溺水、消防、食品、交通、防电信诈骗、用电、防毒品、防欺凌、拒绝“烟卡”游戏纳入教育资料，要落到实处。充分利用安全教育平台上的教育资源，以及安全教育光盘等，加强对师生的安全知识教育，提高师生的安全防范和自救潜力。</w:t>
      </w:r>
    </w:p>
    <w:p w14:paraId="38066FC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3.</w:t>
      </w:r>
      <w:bookmarkStart w:id="25" w:name="OLE_LINK26"/>
      <w:r>
        <w:rPr>
          <w:rFonts w:hint="eastAsia" w:ascii="仿宋" w:hAnsi="仿宋" w:eastAsia="仿宋" w:cs="仿宋"/>
          <w:sz w:val="36"/>
          <w:szCs w:val="36"/>
          <w:lang w:val="en-US" w:eastAsia="zh-CN"/>
        </w:rPr>
        <w:t>继续加强</w:t>
      </w:r>
      <w:bookmarkEnd w:id="25"/>
      <w:r>
        <w:rPr>
          <w:rFonts w:hint="eastAsia" w:ascii="仿宋" w:hAnsi="仿宋" w:eastAsia="仿宋" w:cs="仿宋"/>
          <w:sz w:val="36"/>
          <w:szCs w:val="36"/>
          <w:lang w:val="en-US" w:eastAsia="zh-CN"/>
        </w:rPr>
        <w:t>对学生交通安全法规教育。教育学生自觉遵守交通规章，严禁12周岁以下学生骑自行车，严禁学生乘坐无证无牌车，加强对学生接送车的监督和管理工作，在学生中开展“拒超载”教育,特别是做好乘坐校车学生接送工作。</w:t>
      </w:r>
    </w:p>
    <w:p w14:paraId="39B4CA5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4.扎实开展安全意识和安全知识教育。在学生中扎实开展防溺水、防触电、防煤气中毒、防意外事故等教育，使学生熟悉相关安全知识，掌握救护的基本知识和技能。严禁学生私自下河游泳。</w:t>
      </w:r>
    </w:p>
    <w:p w14:paraId="729C131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5.加强消防安全和消防演练工作。重视学校校舍消防安全，尤其是用电线路等人群集聚地和火源地的消防安全，要加强火源、通道、消防设施等方面的检查，发现问题，立即整改。对易燃、易爆、剧毒药品要按规定严格管理，禁止学生携带烟花、爆竹等易燃、易爆物品进校。加强防火安全教育，使学生掌握消防安全知识和基本技能。一旦发现火灾，立即向有关部门报告，严禁组织小学生参加火灾扑救。</w:t>
      </w:r>
    </w:p>
    <w:p w14:paraId="6449657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楷体_GB2312" w:hAnsi="楷体_GB2312" w:eastAsia="楷体_GB2312" w:cs="楷体_GB2312"/>
          <w:sz w:val="36"/>
          <w:szCs w:val="36"/>
          <w:lang w:val="en-US" w:eastAsia="zh-CN"/>
        </w:rPr>
      </w:pPr>
      <w:r>
        <w:rPr>
          <w:rFonts w:hint="eastAsia" w:ascii="楷体_GB2312" w:hAnsi="楷体_GB2312" w:eastAsia="楷体_GB2312" w:cs="楷体_GB2312"/>
          <w:sz w:val="36"/>
          <w:szCs w:val="36"/>
          <w:lang w:val="en-US" w:eastAsia="zh-CN"/>
        </w:rPr>
        <w:t>（六）其它工作</w:t>
      </w:r>
    </w:p>
    <w:p w14:paraId="466744D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1.树立服务意识，规范总务管理。</w:t>
      </w:r>
    </w:p>
    <w:p w14:paraId="3585432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切实树立学校教学工作为中心的思想，多走多巡视，多听意见和建议，树立服务意识，严格管理学校资产和物品管理，及时做好校园和器材设施的维修维护工作，做到工作不拖拉。进一步提高后勤服务质量，提高工作标准，提升工作品质，实现校园环境洁净，文明卫生。</w:t>
      </w:r>
    </w:p>
    <w:p w14:paraId="4F693F8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 xml:space="preserve">2.深入理论学习，提高政治素质 </w:t>
      </w:r>
    </w:p>
    <w:p w14:paraId="504B6D5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利用全体教师会时间，组织学习《二十届三中全精神》《教师法》《义务教育法》《工会规程》《中小学教师职业道德规范》等法律法规，以政治理论指导工作实践，努力提高政治思想工作的能力，提升德育工作水平。</w:t>
      </w:r>
    </w:p>
    <w:p w14:paraId="3B5834F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3.切实加强学校民主管理，全面落实监管职能</w:t>
      </w:r>
    </w:p>
    <w:p w14:paraId="5908045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全心全意依靠教职工办好学校，拓宽教职工大会的内容，健全教职工大会的有关组织和制度。完善各项措施，不断深化校务公开工作。进一步推进校务公开，落实重大事项需经教职工大会通过制度，工作人员要及时更换校务公开栏。</w:t>
      </w:r>
    </w:p>
    <w:p w14:paraId="571FCAD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4.加强工会自身建设，提高工会工作水平</w:t>
      </w:r>
    </w:p>
    <w:p w14:paraId="37C8AB2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进一步加强工会自身建设，充分发挥工会委员的作用，依靠工会积极分子开展好工会活动。</w:t>
      </w:r>
    </w:p>
    <w:p w14:paraId="32432A0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5. 强化学校卫生工作。</w:t>
      </w:r>
    </w:p>
    <w:p w14:paraId="6A0655B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加强学生食堂、校园商店等安全保障设施的规范化建设，落实学生食堂管理办法，健全食品安全监督检查体系，强化食品安全责任，严格食品安全操作程序，查处违规采购物资行为，杜绝问题食品流入校园、食品安全责任事故发生。切实做好健康教育和季节性传染病防控工作，完善疾病预防工作机制，采取得力措施，确保师生身体健康。加强学校公共卫生安全事件预警机制建设，确保不发生大的卫生安全事件。</w:t>
      </w:r>
    </w:p>
    <w:p w14:paraId="5216C21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6.严谨资助工作，真正帮助每一位困难学生</w:t>
      </w:r>
    </w:p>
    <w:p w14:paraId="0BA733C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根据要求和规定开展好资助工作，通过调查、认定工作真正帮助到每一位家庭经济困难的学生，让困难学生得到和大家一样的学习、生活关怀。</w:t>
      </w:r>
    </w:p>
    <w:p w14:paraId="0FAB0EF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7.学生体质健康工作</w:t>
      </w:r>
    </w:p>
    <w:p w14:paraId="4957D04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根据上级文件要求，严格落实学生校内活动一小时、校外活动一小时，充分发挥阳光大课间、体育课、课外体育活动时间，让学生参与体育活动，提高学生身体素质。通过平台推送体育家庭作业，让学生居家体育锻炼有据可依，根据自身需要参与适合自己的个性化项目，提高自身技能，强化身心健康。</w:t>
      </w:r>
    </w:p>
    <w:p w14:paraId="3E876C9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 xml:space="preserve"> </w:t>
      </w:r>
    </w:p>
    <w:p w14:paraId="6B36B72A">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eastAsia="仿宋" w:cs="仿宋"/>
          <w:sz w:val="36"/>
          <w:szCs w:val="36"/>
          <w:lang w:val="en-US" w:eastAsia="zh-CN"/>
        </w:rPr>
      </w:pPr>
      <w:bookmarkStart w:id="27" w:name="_GoBack"/>
      <w:bookmarkEnd w:id="27"/>
    </w:p>
    <w:p w14:paraId="6AFAC33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sz w:val="36"/>
          <w:szCs w:val="36"/>
          <w:lang w:val="en-US" w:eastAsia="zh-CN"/>
        </w:rPr>
      </w:pPr>
    </w:p>
    <w:p w14:paraId="12D75DD3">
      <w:pPr>
        <w:spacing w:line="500" w:lineRule="exact"/>
        <w:rPr>
          <w:rFonts w:hint="eastAsia" w:ascii="仿宋_GB2312" w:hAnsi="仿宋_GB2312" w:eastAsia="仿宋_GB2312" w:cs="仿宋_GB2312"/>
          <w:sz w:val="30"/>
          <w:szCs w:val="30"/>
        </w:rPr>
      </w:pPr>
    </w:p>
    <w:p w14:paraId="0DF72E3B">
      <w:pPr>
        <w:spacing w:line="500" w:lineRule="exact"/>
        <w:ind w:firstLine="6000" w:firstLineChars="2000"/>
        <w:rPr>
          <w:rFonts w:ascii="仿宋_GB2312" w:hAnsi="仿宋_GB2312" w:eastAsia="仿宋_GB2312" w:cs="仿宋_GB2312"/>
          <w:sz w:val="30"/>
          <w:szCs w:val="30"/>
        </w:rPr>
      </w:pPr>
    </w:p>
    <w:p w14:paraId="7E1B9ED2">
      <w:pPr>
        <w:spacing w:line="500" w:lineRule="exact"/>
        <w:jc w:val="center"/>
        <w:rPr>
          <w:rFonts w:hint="eastAsia" w:ascii="仿宋_GB2312" w:hAnsi="仿宋_GB2312" w:eastAsia="仿宋_GB2312" w:cs="仿宋_GB2312"/>
          <w:sz w:val="36"/>
          <w:szCs w:val="36"/>
        </w:rPr>
      </w:pPr>
      <w:r>
        <w:rPr>
          <w:rFonts w:hint="eastAsia" w:ascii="仿宋" w:hAnsi="仿宋" w:eastAsia="仿宋" w:cs="仿宋"/>
          <w:sz w:val="30"/>
          <w:szCs w:val="30"/>
          <w:lang w:val="en-US" w:eastAsia="zh-CN"/>
        </w:rPr>
        <w:t xml:space="preserve">                      </w:t>
      </w:r>
      <w:r>
        <w:rPr>
          <w:rFonts w:hint="eastAsia" w:ascii="仿宋_GB2312" w:hAnsi="仿宋_GB2312" w:eastAsia="仿宋_GB2312" w:cs="仿宋_GB2312"/>
          <w:sz w:val="36"/>
          <w:szCs w:val="36"/>
          <w:lang w:val="en-US" w:eastAsia="zh-CN"/>
        </w:rPr>
        <w:t>淄博</w:t>
      </w:r>
      <w:r>
        <w:rPr>
          <w:rFonts w:hint="eastAsia" w:ascii="仿宋_GB2312" w:hAnsi="仿宋_GB2312" w:eastAsia="仿宋_GB2312" w:cs="仿宋_GB2312"/>
          <w:sz w:val="36"/>
          <w:szCs w:val="36"/>
        </w:rPr>
        <w:t>高新</w:t>
      </w:r>
      <w:r>
        <w:rPr>
          <w:rFonts w:hint="eastAsia" w:ascii="仿宋_GB2312" w:hAnsi="仿宋_GB2312" w:eastAsia="仿宋_GB2312" w:cs="仿宋_GB2312"/>
          <w:sz w:val="36"/>
          <w:szCs w:val="36"/>
          <w:lang w:val="en-US" w:eastAsia="zh-CN"/>
        </w:rPr>
        <w:t>技术产业开发</w:t>
      </w:r>
      <w:r>
        <w:rPr>
          <w:rFonts w:hint="eastAsia" w:ascii="仿宋_GB2312" w:hAnsi="仿宋_GB2312" w:eastAsia="仿宋_GB2312" w:cs="仿宋_GB2312"/>
          <w:sz w:val="36"/>
          <w:szCs w:val="36"/>
        </w:rPr>
        <w:t>区第四小学</w:t>
      </w:r>
    </w:p>
    <w:p w14:paraId="142705AE">
      <w:pPr>
        <w:spacing w:line="500" w:lineRule="exact"/>
        <w:rPr>
          <w:rFonts w:hint="eastAsia" w:ascii="仿宋_GB2312" w:hAnsi="仿宋_GB2312" w:eastAsia="仿宋_GB2312" w:cs="仿宋_GB2312"/>
          <w:sz w:val="36"/>
          <w:szCs w:val="36"/>
        </w:rPr>
      </w:pPr>
      <w:r>
        <w:rPr>
          <w:rFonts w:hint="eastAsia" w:ascii="仿宋_GB2312" w:hAnsi="仿宋_GB2312" w:eastAsia="仿宋_GB2312" w:cs="仿宋_GB2312"/>
          <w:sz w:val="36"/>
          <w:szCs w:val="36"/>
        </w:rPr>
        <w:t xml:space="preserve">                        </w:t>
      </w:r>
      <w:r>
        <w:rPr>
          <w:rFonts w:hint="eastAsia" w:ascii="仿宋_GB2312" w:hAnsi="仿宋_GB2312" w:eastAsia="仿宋_GB2312" w:cs="仿宋_GB2312"/>
          <w:sz w:val="36"/>
          <w:szCs w:val="36"/>
          <w:lang w:val="en-US" w:eastAsia="zh-CN"/>
        </w:rPr>
        <w:t xml:space="preserve">   </w:t>
      </w:r>
      <w:r>
        <w:rPr>
          <w:rFonts w:hint="eastAsia" w:ascii="仿宋_GB2312" w:hAnsi="仿宋_GB2312" w:eastAsia="仿宋_GB2312" w:cs="仿宋_GB2312"/>
          <w:sz w:val="36"/>
          <w:szCs w:val="36"/>
        </w:rPr>
        <w:t xml:space="preserve"> 2024年</w:t>
      </w:r>
      <w:r>
        <w:rPr>
          <w:rFonts w:hint="eastAsia" w:ascii="仿宋_GB2312" w:hAnsi="仿宋_GB2312" w:eastAsia="仿宋_GB2312" w:cs="仿宋_GB2312"/>
          <w:sz w:val="36"/>
          <w:szCs w:val="36"/>
          <w:lang w:val="en-US" w:eastAsia="zh-CN"/>
        </w:rPr>
        <w:t>9</w:t>
      </w:r>
      <w:r>
        <w:rPr>
          <w:rFonts w:hint="eastAsia" w:ascii="仿宋_GB2312" w:hAnsi="仿宋_GB2312" w:eastAsia="仿宋_GB2312" w:cs="仿宋_GB2312"/>
          <w:sz w:val="36"/>
          <w:szCs w:val="36"/>
        </w:rPr>
        <w:t>月</w:t>
      </w:r>
      <w:bookmarkStart w:id="26" w:name="OLE_LINK14"/>
    </w:p>
    <w:bookmarkEnd w:id="26"/>
    <w:p w14:paraId="3758717F">
      <w:pPr>
        <w:spacing w:line="500" w:lineRule="exact"/>
        <w:rPr>
          <w:rFonts w:ascii="黑体" w:eastAsia="黑体"/>
          <w:b/>
          <w:sz w:val="30"/>
          <w:szCs w:val="30"/>
        </w:rPr>
      </w:pPr>
    </w:p>
    <w:p w14:paraId="0ECC0794">
      <w:pPr>
        <w:spacing w:beforeLines="50" w:line="560" w:lineRule="exact"/>
        <w:jc w:val="center"/>
        <w:rPr>
          <w:rFonts w:hint="eastAsia" w:ascii="方正小标宋简体" w:hAnsi="仿宋" w:eastAsia="方正小标宋简体"/>
          <w:b w:val="0"/>
          <w:bCs/>
          <w:sz w:val="44"/>
          <w:szCs w:val="44"/>
          <w:lang w:val="en-US" w:eastAsia="zh-CN"/>
        </w:rPr>
      </w:pPr>
    </w:p>
    <w:bookmarkEnd w:id="0"/>
    <w:p w14:paraId="04635864">
      <w:pPr>
        <w:spacing w:line="500" w:lineRule="exact"/>
        <w:ind w:firstLine="600" w:firstLineChars="200"/>
        <w:rPr>
          <w:rFonts w:ascii="仿宋" w:hAnsi="仿宋" w:eastAsia="仿宋"/>
          <w:sz w:val="30"/>
          <w:szCs w:val="30"/>
        </w:rPr>
      </w:pPr>
    </w:p>
    <w:sectPr>
      <w:headerReference r:id="rId5" w:type="first"/>
      <w:footerReference r:id="rId8" w:type="first"/>
      <w:headerReference r:id="rId3" w:type="default"/>
      <w:footerReference r:id="rId6" w:type="default"/>
      <w:headerReference r:id="rId4" w:type="even"/>
      <w:footerReference r:id="rId7" w:type="even"/>
      <w:pgSz w:w="11850" w:h="16783"/>
      <w:pgMar w:top="1247" w:right="1134" w:bottom="1191"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9D3A8">
    <w:pPr>
      <w:pStyle w:val="4"/>
      <w:jc w:val="right"/>
    </w:pPr>
    <w:r>
      <mc:AlternateContent>
        <mc:Choice Requires="wps">
          <w:drawing>
            <wp:anchor distT="0" distB="0" distL="114300" distR="114300" simplePos="0" relativeHeight="251660288" behindDoc="0" locked="0" layoutInCell="1" allowOverlap="1">
              <wp:simplePos x="0" y="0"/>
              <wp:positionH relativeFrom="column">
                <wp:posOffset>2171700</wp:posOffset>
              </wp:positionH>
              <wp:positionV relativeFrom="paragraph">
                <wp:posOffset>41275</wp:posOffset>
              </wp:positionV>
              <wp:extent cx="2409190" cy="794385"/>
              <wp:effectExtent l="0" t="0" r="0" b="0"/>
              <wp:wrapNone/>
              <wp:docPr id="4" name="Rectangle 13"/>
              <wp:cNvGraphicFramePr/>
              <a:graphic xmlns:a="http://schemas.openxmlformats.org/drawingml/2006/main">
                <a:graphicData uri="http://schemas.microsoft.com/office/word/2010/wordprocessingShape">
                  <wps:wsp>
                    <wps:cNvSpPr>
                      <a:spLocks noChangeArrowheads="1"/>
                    </wps:cNvSpPr>
                    <wps:spPr bwMode="auto">
                      <a:xfrm>
                        <a:off x="0" y="0"/>
                        <a:ext cx="2256790" cy="461665"/>
                      </a:xfrm>
                      <a:prstGeom prst="rect">
                        <a:avLst/>
                      </a:prstGeom>
                      <a:noFill/>
                      <a:ln w="9525">
                        <a:noFill/>
                        <a:miter lim="800000"/>
                      </a:ln>
                      <a:effectLst/>
                    </wps:spPr>
                    <wps:txbx>
                      <w:txbxContent>
                        <w:p w14:paraId="65DE3186">
                          <w:pPr>
                            <w:pStyle w:val="6"/>
                            <w:jc w:val="left"/>
                            <w:rPr>
                              <w:sz w:val="18"/>
                              <w:szCs w:val="18"/>
                            </w:rPr>
                          </w:pPr>
                          <w:r>
                            <w:rPr>
                              <w:rFonts w:hint="eastAsia" w:ascii="隶书" w:hAnsi="Times New Roman" w:eastAsia="隶书"/>
                              <w:b/>
                              <w:color w:val="0A717A"/>
                              <w:kern w:val="24"/>
                              <w:sz w:val="32"/>
                              <w:szCs w:val="32"/>
                            </w:rPr>
                            <w:t>高</w:t>
                          </w:r>
                          <w:r>
                            <w:rPr>
                              <w:rFonts w:ascii="隶书" w:hAnsi="Times New Roman" w:eastAsia="隶书"/>
                              <w:b/>
                              <w:color w:val="0A717A"/>
                              <w:kern w:val="24"/>
                              <w:sz w:val="32"/>
                              <w:szCs w:val="32"/>
                            </w:rPr>
                            <w:t xml:space="preserve"> </w:t>
                          </w:r>
                          <w:r>
                            <w:rPr>
                              <w:rFonts w:hint="eastAsia" w:ascii="隶书" w:hAnsi="Times New Roman" w:eastAsia="隶书"/>
                              <w:b/>
                              <w:color w:val="0A717A"/>
                              <w:kern w:val="24"/>
                              <w:sz w:val="32"/>
                              <w:szCs w:val="32"/>
                            </w:rPr>
                            <w:t>新</w:t>
                          </w:r>
                          <w:r>
                            <w:rPr>
                              <w:rFonts w:ascii="隶书" w:hAnsi="Times New Roman" w:eastAsia="隶书"/>
                              <w:b/>
                              <w:color w:val="0A717A"/>
                              <w:kern w:val="24"/>
                              <w:sz w:val="32"/>
                              <w:szCs w:val="32"/>
                            </w:rPr>
                            <w:t xml:space="preserve"> </w:t>
                          </w:r>
                          <w:r>
                            <w:rPr>
                              <w:rFonts w:hint="eastAsia" w:ascii="隶书" w:hAnsi="Times New Roman" w:eastAsia="隶书"/>
                              <w:b/>
                              <w:color w:val="0A717A"/>
                              <w:kern w:val="24"/>
                              <w:sz w:val="32"/>
                              <w:szCs w:val="32"/>
                            </w:rPr>
                            <w:t>区</w:t>
                          </w:r>
                          <w:r>
                            <w:rPr>
                              <w:rFonts w:ascii="隶书" w:hAnsi="Times New Roman" w:eastAsia="隶书"/>
                              <w:b/>
                              <w:color w:val="0A717A"/>
                              <w:kern w:val="24"/>
                              <w:sz w:val="32"/>
                              <w:szCs w:val="32"/>
                            </w:rPr>
                            <w:t xml:space="preserve"> </w:t>
                          </w:r>
                          <w:r>
                            <w:rPr>
                              <w:rFonts w:hint="eastAsia" w:ascii="隶书" w:hAnsi="Times New Roman" w:eastAsia="隶书"/>
                              <w:b/>
                              <w:color w:val="0A717A"/>
                              <w:kern w:val="24"/>
                              <w:sz w:val="32"/>
                              <w:szCs w:val="32"/>
                            </w:rPr>
                            <w:t>第</w:t>
                          </w:r>
                          <w:r>
                            <w:rPr>
                              <w:rFonts w:ascii="隶书" w:hAnsi="Times New Roman" w:eastAsia="隶书"/>
                              <w:b/>
                              <w:color w:val="0A717A"/>
                              <w:kern w:val="24"/>
                              <w:sz w:val="32"/>
                              <w:szCs w:val="32"/>
                            </w:rPr>
                            <w:t xml:space="preserve"> </w:t>
                          </w:r>
                          <w:r>
                            <w:rPr>
                              <w:rFonts w:hint="eastAsia" w:ascii="隶书" w:hAnsi="Times New Roman" w:eastAsia="隶书"/>
                              <w:b/>
                              <w:color w:val="0A717A"/>
                              <w:kern w:val="24"/>
                              <w:sz w:val="32"/>
                              <w:szCs w:val="32"/>
                            </w:rPr>
                            <w:t>四</w:t>
                          </w:r>
                          <w:r>
                            <w:rPr>
                              <w:rFonts w:ascii="隶书" w:hAnsi="Times New Roman" w:eastAsia="隶书"/>
                              <w:b/>
                              <w:color w:val="0A717A"/>
                              <w:kern w:val="24"/>
                              <w:sz w:val="32"/>
                              <w:szCs w:val="32"/>
                            </w:rPr>
                            <w:t xml:space="preserve"> </w:t>
                          </w:r>
                          <w:r>
                            <w:rPr>
                              <w:rFonts w:hint="eastAsia" w:ascii="隶书" w:hAnsi="Times New Roman" w:eastAsia="隶书"/>
                              <w:b/>
                              <w:color w:val="0A717A"/>
                              <w:kern w:val="24"/>
                              <w:sz w:val="32"/>
                              <w:szCs w:val="32"/>
                            </w:rPr>
                            <w:t>小</w:t>
                          </w:r>
                          <w:r>
                            <w:rPr>
                              <w:rFonts w:ascii="隶书" w:hAnsi="Times New Roman" w:eastAsia="隶书"/>
                              <w:b/>
                              <w:color w:val="0A717A"/>
                              <w:kern w:val="24"/>
                              <w:sz w:val="32"/>
                              <w:szCs w:val="32"/>
                            </w:rPr>
                            <w:t xml:space="preserve"> </w:t>
                          </w:r>
                          <w:r>
                            <w:rPr>
                              <w:rFonts w:hint="eastAsia" w:ascii="隶书" w:hAnsi="Times New Roman" w:eastAsia="隶书"/>
                              <w:b/>
                              <w:color w:val="0A717A"/>
                              <w:kern w:val="24"/>
                              <w:sz w:val="32"/>
                              <w:szCs w:val="32"/>
                            </w:rPr>
                            <w:t>学</w:t>
                          </w:r>
                        </w:p>
                      </w:txbxContent>
                    </wps:txbx>
                    <wps:bodyPr wrap="square">
                      <a:spAutoFit/>
                      <a:scene3d>
                        <a:camera prst="perspectiveAbove"/>
                        <a:lightRig rig="threePt" dir="t"/>
                      </a:scene3d>
                    </wps:bodyPr>
                  </wps:wsp>
                </a:graphicData>
              </a:graphic>
            </wp:anchor>
          </w:drawing>
        </mc:Choice>
        <mc:Fallback>
          <w:pict>
            <v:rect id="Rectangle 13" o:spid="_x0000_s1026" o:spt="1" style="position:absolute;left:0pt;margin-left:171pt;margin-top:3.25pt;height:62.55pt;width:189.7pt;z-index:251660288;mso-width-relative:page;mso-height-relative:page;" filled="f" stroked="f" coordsize="21600,21600" o:gfxdata="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0rCkzNkAAAAJAQAA&#10;DwAAAAAAAAABACAAAAAiAAAAZHJzL2Rvd25yZXYueG1sUEsBAhQAFAAAAAgAh07iQJCx6YgYAgAA&#10;KgQAAA4AAAAAAAAAAQAgAAAAKAEAAGRycy9lMm9Eb2MueG1sUEsFBgAAAAAGAAYAWQEAALIFAAAA&#10;AA==&#10;">
              <v:fill on="f" focussize="0,0"/>
              <v:stroke on="f" miterlimit="8" joinstyle="miter"/>
              <v:imagedata o:title=""/>
              <o:lock v:ext="edit" aspectratio="f"/>
              <v:textbox style="mso-fit-shape-to-text:t;">
                <w:txbxContent>
                  <w:p w14:paraId="65DE3186">
                    <w:pPr>
                      <w:pStyle w:val="6"/>
                      <w:jc w:val="left"/>
                      <w:rPr>
                        <w:sz w:val="18"/>
                        <w:szCs w:val="18"/>
                      </w:rPr>
                    </w:pPr>
                    <w:r>
                      <w:rPr>
                        <w:rFonts w:hint="eastAsia" w:ascii="隶书" w:hAnsi="Times New Roman" w:eastAsia="隶书"/>
                        <w:b/>
                        <w:color w:val="0A717A"/>
                        <w:kern w:val="24"/>
                        <w:sz w:val="32"/>
                        <w:szCs w:val="32"/>
                      </w:rPr>
                      <w:t>高</w:t>
                    </w:r>
                    <w:r>
                      <w:rPr>
                        <w:rFonts w:ascii="隶书" w:hAnsi="Times New Roman" w:eastAsia="隶书"/>
                        <w:b/>
                        <w:color w:val="0A717A"/>
                        <w:kern w:val="24"/>
                        <w:sz w:val="32"/>
                        <w:szCs w:val="32"/>
                      </w:rPr>
                      <w:t xml:space="preserve"> </w:t>
                    </w:r>
                    <w:r>
                      <w:rPr>
                        <w:rFonts w:hint="eastAsia" w:ascii="隶书" w:hAnsi="Times New Roman" w:eastAsia="隶书"/>
                        <w:b/>
                        <w:color w:val="0A717A"/>
                        <w:kern w:val="24"/>
                        <w:sz w:val="32"/>
                        <w:szCs w:val="32"/>
                      </w:rPr>
                      <w:t>新</w:t>
                    </w:r>
                    <w:r>
                      <w:rPr>
                        <w:rFonts w:ascii="隶书" w:hAnsi="Times New Roman" w:eastAsia="隶书"/>
                        <w:b/>
                        <w:color w:val="0A717A"/>
                        <w:kern w:val="24"/>
                        <w:sz w:val="32"/>
                        <w:szCs w:val="32"/>
                      </w:rPr>
                      <w:t xml:space="preserve"> </w:t>
                    </w:r>
                    <w:r>
                      <w:rPr>
                        <w:rFonts w:hint="eastAsia" w:ascii="隶书" w:hAnsi="Times New Roman" w:eastAsia="隶书"/>
                        <w:b/>
                        <w:color w:val="0A717A"/>
                        <w:kern w:val="24"/>
                        <w:sz w:val="32"/>
                        <w:szCs w:val="32"/>
                      </w:rPr>
                      <w:t>区</w:t>
                    </w:r>
                    <w:r>
                      <w:rPr>
                        <w:rFonts w:ascii="隶书" w:hAnsi="Times New Roman" w:eastAsia="隶书"/>
                        <w:b/>
                        <w:color w:val="0A717A"/>
                        <w:kern w:val="24"/>
                        <w:sz w:val="32"/>
                        <w:szCs w:val="32"/>
                      </w:rPr>
                      <w:t xml:space="preserve"> </w:t>
                    </w:r>
                    <w:r>
                      <w:rPr>
                        <w:rFonts w:hint="eastAsia" w:ascii="隶书" w:hAnsi="Times New Roman" w:eastAsia="隶书"/>
                        <w:b/>
                        <w:color w:val="0A717A"/>
                        <w:kern w:val="24"/>
                        <w:sz w:val="32"/>
                        <w:szCs w:val="32"/>
                      </w:rPr>
                      <w:t>第</w:t>
                    </w:r>
                    <w:r>
                      <w:rPr>
                        <w:rFonts w:ascii="隶书" w:hAnsi="Times New Roman" w:eastAsia="隶书"/>
                        <w:b/>
                        <w:color w:val="0A717A"/>
                        <w:kern w:val="24"/>
                        <w:sz w:val="32"/>
                        <w:szCs w:val="32"/>
                      </w:rPr>
                      <w:t xml:space="preserve"> </w:t>
                    </w:r>
                    <w:r>
                      <w:rPr>
                        <w:rFonts w:hint="eastAsia" w:ascii="隶书" w:hAnsi="Times New Roman" w:eastAsia="隶书"/>
                        <w:b/>
                        <w:color w:val="0A717A"/>
                        <w:kern w:val="24"/>
                        <w:sz w:val="32"/>
                        <w:szCs w:val="32"/>
                      </w:rPr>
                      <w:t>四</w:t>
                    </w:r>
                    <w:r>
                      <w:rPr>
                        <w:rFonts w:ascii="隶书" w:hAnsi="Times New Roman" w:eastAsia="隶书"/>
                        <w:b/>
                        <w:color w:val="0A717A"/>
                        <w:kern w:val="24"/>
                        <w:sz w:val="32"/>
                        <w:szCs w:val="32"/>
                      </w:rPr>
                      <w:t xml:space="preserve"> </w:t>
                    </w:r>
                    <w:r>
                      <w:rPr>
                        <w:rFonts w:hint="eastAsia" w:ascii="隶书" w:hAnsi="Times New Roman" w:eastAsia="隶书"/>
                        <w:b/>
                        <w:color w:val="0A717A"/>
                        <w:kern w:val="24"/>
                        <w:sz w:val="32"/>
                        <w:szCs w:val="32"/>
                      </w:rPr>
                      <w:t>小</w:t>
                    </w:r>
                    <w:r>
                      <w:rPr>
                        <w:rFonts w:ascii="隶书" w:hAnsi="Times New Roman" w:eastAsia="隶书"/>
                        <w:b/>
                        <w:color w:val="0A717A"/>
                        <w:kern w:val="24"/>
                        <w:sz w:val="32"/>
                        <w:szCs w:val="32"/>
                      </w:rPr>
                      <w:t xml:space="preserve"> </w:t>
                    </w:r>
                    <w:r>
                      <w:rPr>
                        <w:rFonts w:hint="eastAsia" w:ascii="隶书" w:hAnsi="Times New Roman" w:eastAsia="隶书"/>
                        <w:b/>
                        <w:color w:val="0A717A"/>
                        <w:kern w:val="24"/>
                        <w:sz w:val="32"/>
                        <w:szCs w:val="32"/>
                      </w:rPr>
                      <w:t>学</w:t>
                    </w:r>
                  </w:p>
                </w:txbxContent>
              </v:textbox>
            </v:rect>
          </w:pict>
        </mc:Fallback>
      </mc:AlternateContent>
    </w:r>
    <w:r>
      <w:drawing>
        <wp:inline distT="0" distB="0" distL="114300" distR="114300">
          <wp:extent cx="5212080" cy="91440"/>
          <wp:effectExtent l="0" t="0" r="7620" b="3810"/>
          <wp:docPr id="1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
                  <pic:cNvPicPr>
                    <a:picLocks noChangeAspect="1"/>
                  </pic:cNvPicPr>
                </pic:nvPicPr>
                <pic:blipFill>
                  <a:blip r:embed="rId1"/>
                  <a:stretch>
                    <a:fillRect/>
                  </a:stretch>
                </pic:blipFill>
                <pic:spPr>
                  <a:xfrm>
                    <a:off x="0" y="0"/>
                    <a:ext cx="5212080" cy="91440"/>
                  </a:xfrm>
                  <a:prstGeom prst="rect">
                    <a:avLst/>
                  </a:prstGeom>
                  <a:noFill/>
                  <a:ln>
                    <a:noFill/>
                  </a:ln>
                </pic:spPr>
              </pic:pic>
            </a:graphicData>
          </a:graphic>
        </wp:inline>
      </w:drawing>
    </w:r>
    <w:r>
      <w:drawing>
        <wp:inline distT="0" distB="0" distL="114300" distR="114300">
          <wp:extent cx="457200" cy="457200"/>
          <wp:effectExtent l="0" t="0" r="0" b="0"/>
          <wp:docPr id="16" name="图片 8" descr="学校微信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8" descr="学校微信二维码"/>
                  <pic:cNvPicPr>
                    <a:picLocks noChangeAspect="1"/>
                  </pic:cNvPicPr>
                </pic:nvPicPr>
                <pic:blipFill>
                  <a:blip r:embed="rId2"/>
                  <a:stretch>
                    <a:fillRect/>
                  </a:stretch>
                </pic:blipFill>
                <pic:spPr>
                  <a:xfrm>
                    <a:off x="0" y="0"/>
                    <a:ext cx="457200" cy="457200"/>
                  </a:xfrm>
                  <a:prstGeom prst="rect">
                    <a:avLst/>
                  </a:prstGeom>
                  <a:noFill/>
                  <a:ln>
                    <a:noFill/>
                  </a:ln>
                </pic:spPr>
              </pic:pic>
            </a:graphicData>
          </a:graphic>
        </wp:inline>
      </w:drawing>
    </w:r>
    <w:r>
      <mc:AlternateContent>
        <mc:Choice Requires="wps">
          <w:drawing>
            <wp:anchor distT="0" distB="0" distL="114300" distR="114300" simplePos="0" relativeHeight="251659264" behindDoc="0" locked="0" layoutInCell="1" allowOverlap="1">
              <wp:simplePos x="0" y="0"/>
              <wp:positionH relativeFrom="column">
                <wp:posOffset>3133725</wp:posOffset>
              </wp:positionH>
              <wp:positionV relativeFrom="paragraph">
                <wp:posOffset>-85725</wp:posOffset>
              </wp:positionV>
              <wp:extent cx="2323465" cy="461645"/>
              <wp:effectExtent l="0" t="0" r="0" b="0"/>
              <wp:wrapNone/>
              <wp:docPr id="9" name="Rectangle 13"/>
              <wp:cNvGraphicFramePr/>
              <a:graphic xmlns:a="http://schemas.openxmlformats.org/drawingml/2006/main">
                <a:graphicData uri="http://schemas.microsoft.com/office/word/2010/wordprocessingShape">
                  <wps:wsp>
                    <wps:cNvSpPr>
                      <a:spLocks noChangeArrowheads="1"/>
                    </wps:cNvSpPr>
                    <wps:spPr bwMode="auto">
                      <a:xfrm>
                        <a:off x="0" y="0"/>
                        <a:ext cx="2323465" cy="461665"/>
                      </a:xfrm>
                      <a:prstGeom prst="rect">
                        <a:avLst/>
                      </a:prstGeom>
                      <a:noFill/>
                      <a:ln w="9525">
                        <a:noFill/>
                        <a:miter lim="800000"/>
                      </a:ln>
                      <a:effectLst/>
                    </wps:spPr>
                    <wps:txbx>
                      <w:txbxContent>
                        <w:p w14:paraId="0052EA18"/>
                      </w:txbxContent>
                    </wps:txbx>
                    <wps:bodyPr wrap="square">
                      <a:spAutoFit/>
                      <a:scene3d>
                        <a:camera prst="perspectiveAbove"/>
                        <a:lightRig rig="threePt" dir="t"/>
                      </a:scene3d>
                    </wps:bodyPr>
                  </wps:wsp>
                </a:graphicData>
              </a:graphic>
            </wp:anchor>
          </w:drawing>
        </mc:Choice>
        <mc:Fallback>
          <w:pict>
            <v:rect id="Rectangle 13" o:spid="_x0000_s1026" o:spt="1" style="position:absolute;left:0pt;margin-left:246.75pt;margin-top:-6.75pt;height:36.35pt;width:182.95pt;z-index:251659264;mso-width-relative:page;mso-height-relative:page;" filled="f" stroked="f" coordsize="21600,21600" o:gfxdata="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zUK6w9oAAAAKAQAA&#10;DwAAAAAAAAABACAAAAAiAAAAZHJzL2Rvd25yZXYueG1sUEsBAhQAFAAAAAgAh07iQNLaiHsXAgAA&#10;KgQAAA4AAAAAAAAAAQAgAAAAKQEAAGRycy9lMm9Eb2MueG1sUEsFBgAAAAAGAAYAWQEAALIFAAAA&#10;AA==&#10;">
              <v:fill on="f" focussize="0,0"/>
              <v:stroke on="f" miterlimit="8" joinstyle="miter"/>
              <v:imagedata o:title=""/>
              <o:lock v:ext="edit" aspectratio="f"/>
              <v:textbox style="mso-fit-shape-to-text:t;">
                <w:txbxContent>
                  <w:p w14:paraId="0052EA18"/>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60AB2">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D7CFB2">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FAE24">
    <w:pPr>
      <w:pStyle w:val="5"/>
      <w:pBdr>
        <w:top w:val="none" w:color="auto" w:sz="0" w:space="0"/>
        <w:left w:val="none" w:color="auto" w:sz="0" w:space="0"/>
        <w:bottom w:val="none" w:color="auto" w:sz="0" w:space="0"/>
        <w:right w:val="none" w:color="auto" w:sz="0" w:space="0"/>
      </w:pBdr>
    </w:pPr>
    <w:r>
      <mc:AlternateContent>
        <mc:Choice Requires="wps">
          <w:drawing>
            <wp:anchor distT="0" distB="0" distL="114300" distR="114300" simplePos="0" relativeHeight="251660288" behindDoc="0" locked="0" layoutInCell="1" allowOverlap="1">
              <wp:simplePos x="0" y="0"/>
              <wp:positionH relativeFrom="column">
                <wp:posOffset>438150</wp:posOffset>
              </wp:positionH>
              <wp:positionV relativeFrom="paragraph">
                <wp:posOffset>12700</wp:posOffset>
              </wp:positionV>
              <wp:extent cx="3686810" cy="372745"/>
              <wp:effectExtent l="0" t="0" r="0" b="0"/>
              <wp:wrapNone/>
              <wp:docPr id="11" name="矩形 10"/>
              <wp:cNvGraphicFramePr/>
              <a:graphic xmlns:a="http://schemas.openxmlformats.org/drawingml/2006/main">
                <a:graphicData uri="http://schemas.microsoft.com/office/word/2010/wordprocessingShape">
                  <wps:wsp>
                    <wps:cNvSpPr/>
                    <wps:spPr>
                      <a:xfrm>
                        <a:off x="0" y="0"/>
                        <a:ext cx="3686810" cy="372745"/>
                      </a:xfrm>
                      <a:prstGeom prst="rect">
                        <a:avLst/>
                      </a:prstGeom>
                      <a:noFill/>
                      <a:ln>
                        <a:noFill/>
                      </a:ln>
                      <a:effectLst/>
                    </wps:spPr>
                    <wps:txbx>
                      <w:txbxContent>
                        <w:p w14:paraId="2EFA1B77">
                          <w:pPr>
                            <w:pStyle w:val="6"/>
                            <w:spacing w:line="360" w:lineRule="auto"/>
                            <w:jc w:val="left"/>
                            <w:rPr>
                              <w:sz w:val="13"/>
                              <w:szCs w:val="13"/>
                            </w:rPr>
                          </w:pPr>
                          <w:r>
                            <w:rPr>
                              <w:rFonts w:hint="eastAsia" w:ascii="隶书" w:hAnsi="微软雅黑" w:eastAsia="隶书"/>
                              <w:b/>
                              <w:color w:val="0A717A"/>
                              <w:kern w:val="24"/>
                              <w:sz w:val="32"/>
                              <w:szCs w:val="32"/>
                            </w:rPr>
                            <w:t>厚德如石</w:t>
                          </w:r>
                          <w:r>
                            <w:rPr>
                              <w:rFonts w:ascii="隶书" w:hAnsi="微软雅黑" w:eastAsia="隶书"/>
                              <w:b/>
                              <w:color w:val="0A717A"/>
                              <w:kern w:val="24"/>
                              <w:sz w:val="32"/>
                              <w:szCs w:val="32"/>
                            </w:rPr>
                            <w:t xml:space="preserve"> </w:t>
                          </w:r>
                          <w:r>
                            <w:rPr>
                              <w:rFonts w:hint="eastAsia" w:ascii="隶书" w:hAnsi="微软雅黑" w:eastAsia="隶书"/>
                              <w:b/>
                              <w:color w:val="0A717A"/>
                              <w:kern w:val="24"/>
                              <w:sz w:val="32"/>
                              <w:szCs w:val="32"/>
                            </w:rPr>
                            <w:t>通智若桥</w:t>
                          </w:r>
                        </w:p>
                      </w:txbxContent>
                    </wps:txbx>
                    <wps:bodyPr wrap="none">
                      <a:noAutofit/>
                    </wps:bodyPr>
                  </wps:wsp>
                </a:graphicData>
              </a:graphic>
            </wp:anchor>
          </w:drawing>
        </mc:Choice>
        <mc:Fallback>
          <w:pict>
            <v:rect id="矩形 10" o:spid="_x0000_s1026" o:spt="1" style="position:absolute;left:0pt;margin-left:34.5pt;margin-top:1pt;height:29.35pt;width:290.3pt;mso-wrap-style:none;z-index:251660288;mso-width-relative:page;mso-height-relative:page;" filled="f" stroked="f" coordsize="21600,21600" o:gfxdata="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Cp&#10;6Qn01gAAAAcBAAAPAAAAAAAAAAEAIAAAACIAAABkcnMvZG93bnJldi54bWxQSwECFAAUAAAACACH&#10;TuJAKJ4gHbQBAABrAwAADgAAAAAAAAABACAAAAAlAQAAZHJzL2Uyb0RvYy54bWxQSwUGAAAAAAYA&#10;BgBZAQAASwUAAAAA&#10;">
              <v:fill on="f" focussize="0,0"/>
              <v:stroke on="f"/>
              <v:imagedata o:title=""/>
              <o:lock v:ext="edit" aspectratio="f"/>
              <v:textbox>
                <w:txbxContent>
                  <w:p w14:paraId="2EFA1B77">
                    <w:pPr>
                      <w:pStyle w:val="6"/>
                      <w:spacing w:line="360" w:lineRule="auto"/>
                      <w:jc w:val="left"/>
                      <w:rPr>
                        <w:sz w:val="13"/>
                        <w:szCs w:val="13"/>
                      </w:rPr>
                    </w:pPr>
                    <w:r>
                      <w:rPr>
                        <w:rFonts w:hint="eastAsia" w:ascii="隶书" w:hAnsi="微软雅黑" w:eastAsia="隶书"/>
                        <w:b/>
                        <w:color w:val="0A717A"/>
                        <w:kern w:val="24"/>
                        <w:sz w:val="32"/>
                        <w:szCs w:val="32"/>
                      </w:rPr>
                      <w:t>厚德如石</w:t>
                    </w:r>
                    <w:r>
                      <w:rPr>
                        <w:rFonts w:ascii="隶书" w:hAnsi="微软雅黑" w:eastAsia="隶书"/>
                        <w:b/>
                        <w:color w:val="0A717A"/>
                        <w:kern w:val="24"/>
                        <w:sz w:val="32"/>
                        <w:szCs w:val="32"/>
                      </w:rPr>
                      <w:t xml:space="preserve"> </w:t>
                    </w:r>
                    <w:r>
                      <w:rPr>
                        <w:rFonts w:hint="eastAsia" w:ascii="隶书" w:hAnsi="微软雅黑" w:eastAsia="隶书"/>
                        <w:b/>
                        <w:color w:val="0A717A"/>
                        <w:kern w:val="24"/>
                        <w:sz w:val="32"/>
                        <w:szCs w:val="32"/>
                      </w:rPr>
                      <w:t>通智若桥</w:t>
                    </w:r>
                  </w:p>
                </w:txbxContent>
              </v:textbox>
            </v:rect>
          </w:pict>
        </mc:Fallback>
      </mc:AlternateContent>
    </w:r>
    <w:r>
      <w:drawing>
        <wp:inline distT="0" distB="0" distL="114300" distR="114300">
          <wp:extent cx="365760" cy="365760"/>
          <wp:effectExtent l="0" t="0" r="15240" b="15240"/>
          <wp:docPr id="1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1"/>
                  <pic:cNvPicPr>
                    <a:picLocks noChangeAspect="1"/>
                  </pic:cNvPicPr>
                </pic:nvPicPr>
                <pic:blipFill>
                  <a:blip r:embed="rId1"/>
                  <a:stretch>
                    <a:fillRect/>
                  </a:stretch>
                </pic:blipFill>
                <pic:spPr>
                  <a:xfrm>
                    <a:off x="0" y="0"/>
                    <a:ext cx="365760" cy="365760"/>
                  </a:xfrm>
                  <a:prstGeom prst="rect">
                    <a:avLst/>
                  </a:prstGeom>
                  <a:noFill/>
                  <a:ln>
                    <a:noFill/>
                  </a:ln>
                </pic:spPr>
              </pic:pic>
            </a:graphicData>
          </a:graphic>
        </wp:inline>
      </w:drawing>
    </w:r>
    <w:r>
      <w:rPr>
        <w:rFonts w:ascii="仿宋" w:hAnsi="仿宋" w:eastAsia="仿宋" w:cs="仿宋"/>
        <w:sz w:val="21"/>
        <w:szCs w:val="32"/>
      </w:rPr>
      <w:t xml:space="preserve"> </w:t>
    </w:r>
    <w:r>
      <w:drawing>
        <wp:inline distT="0" distB="0" distL="114300" distR="114300">
          <wp:extent cx="5212080" cy="91440"/>
          <wp:effectExtent l="0" t="0" r="7620" b="3810"/>
          <wp:docPr id="1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pic:cNvPicPr>
                    <a:picLocks noChangeAspect="1"/>
                  </pic:cNvPicPr>
                </pic:nvPicPr>
                <pic:blipFill>
                  <a:blip r:embed="rId2"/>
                  <a:stretch>
                    <a:fillRect/>
                  </a:stretch>
                </pic:blipFill>
                <pic:spPr>
                  <a:xfrm>
                    <a:off x="0" y="0"/>
                    <a:ext cx="5212080" cy="9144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C649C7">
    <w:pPr>
      <w:pStyle w:val="5"/>
      <w:pBdr>
        <w:top w:val="none" w:color="auto" w:sz="0" w:space="0"/>
        <w:left w:val="none" w:color="auto" w:sz="0" w:space="0"/>
        <w:bottom w:val="none" w:color="auto" w:sz="0" w:space="0"/>
        <w:right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B91D5C">
    <w:pPr>
      <w:pStyle w:val="5"/>
      <w:pBdr>
        <w:top w:val="none" w:color="auto" w:sz="0" w:space="0"/>
        <w:left w:val="none" w:color="auto" w:sz="0" w:space="0"/>
        <w:bottom w:val="none" w:color="auto" w:sz="0" w:space="0"/>
        <w:right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2A98386"/>
    <w:multiLevelType w:val="singleLevel"/>
    <w:tmpl w:val="F2A98386"/>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VhMWU2NTZkNGYyNDE3NjZhNDY3MmNlZjllMDliOTcifQ=="/>
  </w:docVars>
  <w:rsids>
    <w:rsidRoot w:val="210861F9"/>
    <w:rsid w:val="00017B43"/>
    <w:rsid w:val="000308D2"/>
    <w:rsid w:val="000642C2"/>
    <w:rsid w:val="00083FD1"/>
    <w:rsid w:val="000901E1"/>
    <w:rsid w:val="00094775"/>
    <w:rsid w:val="000B08F1"/>
    <w:rsid w:val="000D16D7"/>
    <w:rsid w:val="000E11AF"/>
    <w:rsid w:val="000E11F8"/>
    <w:rsid w:val="00115860"/>
    <w:rsid w:val="00117329"/>
    <w:rsid w:val="001247D8"/>
    <w:rsid w:val="0013232F"/>
    <w:rsid w:val="00156D02"/>
    <w:rsid w:val="00175BBE"/>
    <w:rsid w:val="00195A2E"/>
    <w:rsid w:val="00196907"/>
    <w:rsid w:val="001B5C6B"/>
    <w:rsid w:val="0020369C"/>
    <w:rsid w:val="00225D66"/>
    <w:rsid w:val="00234E5F"/>
    <w:rsid w:val="00240116"/>
    <w:rsid w:val="00281269"/>
    <w:rsid w:val="0029431A"/>
    <w:rsid w:val="002A0A58"/>
    <w:rsid w:val="002A387A"/>
    <w:rsid w:val="002B0903"/>
    <w:rsid w:val="002F064F"/>
    <w:rsid w:val="00340AE6"/>
    <w:rsid w:val="00343E9F"/>
    <w:rsid w:val="00350742"/>
    <w:rsid w:val="00373C72"/>
    <w:rsid w:val="003747A3"/>
    <w:rsid w:val="00374939"/>
    <w:rsid w:val="00395701"/>
    <w:rsid w:val="00397BD4"/>
    <w:rsid w:val="003B4DAC"/>
    <w:rsid w:val="003C12BE"/>
    <w:rsid w:val="003D0FC3"/>
    <w:rsid w:val="003F3129"/>
    <w:rsid w:val="0041707B"/>
    <w:rsid w:val="00426DDC"/>
    <w:rsid w:val="00434615"/>
    <w:rsid w:val="00456D59"/>
    <w:rsid w:val="0046258D"/>
    <w:rsid w:val="00476B56"/>
    <w:rsid w:val="00486936"/>
    <w:rsid w:val="004F1A5D"/>
    <w:rsid w:val="0050189D"/>
    <w:rsid w:val="00510481"/>
    <w:rsid w:val="00530A11"/>
    <w:rsid w:val="00567FC8"/>
    <w:rsid w:val="0057402D"/>
    <w:rsid w:val="00576848"/>
    <w:rsid w:val="005C1564"/>
    <w:rsid w:val="005F45F8"/>
    <w:rsid w:val="00631E1B"/>
    <w:rsid w:val="006436B9"/>
    <w:rsid w:val="00681227"/>
    <w:rsid w:val="00682A78"/>
    <w:rsid w:val="00703BAF"/>
    <w:rsid w:val="00722DC9"/>
    <w:rsid w:val="007720B5"/>
    <w:rsid w:val="00774336"/>
    <w:rsid w:val="007743DF"/>
    <w:rsid w:val="00782DBF"/>
    <w:rsid w:val="007875B0"/>
    <w:rsid w:val="007A6242"/>
    <w:rsid w:val="007B33F4"/>
    <w:rsid w:val="007C0C56"/>
    <w:rsid w:val="007C2668"/>
    <w:rsid w:val="007D0D67"/>
    <w:rsid w:val="007E1E9F"/>
    <w:rsid w:val="007F6DE2"/>
    <w:rsid w:val="007F7BFD"/>
    <w:rsid w:val="008144D0"/>
    <w:rsid w:val="008240A3"/>
    <w:rsid w:val="0083696C"/>
    <w:rsid w:val="00862174"/>
    <w:rsid w:val="00864254"/>
    <w:rsid w:val="00865D4E"/>
    <w:rsid w:val="0087160A"/>
    <w:rsid w:val="0088476D"/>
    <w:rsid w:val="008C2D3B"/>
    <w:rsid w:val="008D01AA"/>
    <w:rsid w:val="008D024C"/>
    <w:rsid w:val="008D64BF"/>
    <w:rsid w:val="008E7A3C"/>
    <w:rsid w:val="008F203A"/>
    <w:rsid w:val="00922433"/>
    <w:rsid w:val="00967D6A"/>
    <w:rsid w:val="009832AD"/>
    <w:rsid w:val="009A3C01"/>
    <w:rsid w:val="009B0D48"/>
    <w:rsid w:val="009D5EBC"/>
    <w:rsid w:val="009E4AA4"/>
    <w:rsid w:val="009E4E36"/>
    <w:rsid w:val="00A12359"/>
    <w:rsid w:val="00A21212"/>
    <w:rsid w:val="00A736DB"/>
    <w:rsid w:val="00A93D32"/>
    <w:rsid w:val="00AA0695"/>
    <w:rsid w:val="00AA493D"/>
    <w:rsid w:val="00AB0502"/>
    <w:rsid w:val="00AC1ADA"/>
    <w:rsid w:val="00AD48F7"/>
    <w:rsid w:val="00B05554"/>
    <w:rsid w:val="00B25CB5"/>
    <w:rsid w:val="00B506EA"/>
    <w:rsid w:val="00BD56B2"/>
    <w:rsid w:val="00BF22C3"/>
    <w:rsid w:val="00BF6019"/>
    <w:rsid w:val="00C03BC4"/>
    <w:rsid w:val="00C1045C"/>
    <w:rsid w:val="00C30102"/>
    <w:rsid w:val="00C34968"/>
    <w:rsid w:val="00C6667A"/>
    <w:rsid w:val="00C77615"/>
    <w:rsid w:val="00CE4D00"/>
    <w:rsid w:val="00CF2BDB"/>
    <w:rsid w:val="00D12A76"/>
    <w:rsid w:val="00D259E6"/>
    <w:rsid w:val="00D33D5D"/>
    <w:rsid w:val="00D54142"/>
    <w:rsid w:val="00D70197"/>
    <w:rsid w:val="00D779FD"/>
    <w:rsid w:val="00DA5B5B"/>
    <w:rsid w:val="00DC47F4"/>
    <w:rsid w:val="00DC5F08"/>
    <w:rsid w:val="00DE2B0C"/>
    <w:rsid w:val="00E13C76"/>
    <w:rsid w:val="00E47A51"/>
    <w:rsid w:val="00E5046D"/>
    <w:rsid w:val="00E72B84"/>
    <w:rsid w:val="00E907AA"/>
    <w:rsid w:val="00EB00B6"/>
    <w:rsid w:val="00EB3A10"/>
    <w:rsid w:val="00EC299E"/>
    <w:rsid w:val="00ED5A16"/>
    <w:rsid w:val="00ED7074"/>
    <w:rsid w:val="00EF02B7"/>
    <w:rsid w:val="00F01050"/>
    <w:rsid w:val="00F018C1"/>
    <w:rsid w:val="00F34A5F"/>
    <w:rsid w:val="00F51799"/>
    <w:rsid w:val="00F62C83"/>
    <w:rsid w:val="00F74B67"/>
    <w:rsid w:val="00FA48ED"/>
    <w:rsid w:val="068B11FF"/>
    <w:rsid w:val="11565135"/>
    <w:rsid w:val="14D902A4"/>
    <w:rsid w:val="1AAF7528"/>
    <w:rsid w:val="210861F9"/>
    <w:rsid w:val="23FC71AF"/>
    <w:rsid w:val="2BA54743"/>
    <w:rsid w:val="2F544C9F"/>
    <w:rsid w:val="32AA30F7"/>
    <w:rsid w:val="39B90520"/>
    <w:rsid w:val="3A2060C8"/>
    <w:rsid w:val="4612103D"/>
    <w:rsid w:val="4D1B1AD8"/>
    <w:rsid w:val="4E832BEF"/>
    <w:rsid w:val="4F0A6CD0"/>
    <w:rsid w:val="531C6FD2"/>
    <w:rsid w:val="55474FEC"/>
    <w:rsid w:val="55B39159"/>
    <w:rsid w:val="582E0BB0"/>
    <w:rsid w:val="5F1F0576"/>
    <w:rsid w:val="62516058"/>
    <w:rsid w:val="663314D9"/>
    <w:rsid w:val="663A601F"/>
    <w:rsid w:val="697E5DCE"/>
    <w:rsid w:val="6DAF7323"/>
    <w:rsid w:val="6F57620F"/>
    <w:rsid w:val="6F8F9882"/>
    <w:rsid w:val="7A2E488F"/>
    <w:rsid w:val="7B8C6B3B"/>
    <w:rsid w:val="7DFF905F"/>
    <w:rsid w:val="7E024E93"/>
    <w:rsid w:val="7F4F7758"/>
    <w:rsid w:val="7F5B0CFF"/>
    <w:rsid w:val="957DC55B"/>
    <w:rsid w:val="B3EFF375"/>
    <w:rsid w:val="BFFFF2CF"/>
    <w:rsid w:val="CF7E08F4"/>
    <w:rsid w:val="DFF787E1"/>
    <w:rsid w:val="E75F63C3"/>
    <w:rsid w:val="FFFBD83C"/>
    <w:rsid w:val="FFFF89F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iPriority="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iPriority="99" w:name="Normal Indent" w:locked="1"/>
    <w:lsdException w:uiPriority="99" w:name="footnote text" w:locked="1"/>
    <w:lsdException w:uiPriority="99"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uiPriority="99"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iPriority="1" w:name="Default Paragraph Font"/>
    <w:lsdException w:uiPriority="99"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uiPriority="99" w:name="Hyperlink" w:locked="1"/>
    <w:lsdException w:uiPriority="99" w:name="FollowedHyperlink" w:locked="1"/>
    <w:lsdException w:qFormat="1" w:unhideWhenUsed="0" w:uiPriority="0" w:semiHidden="0" w:name="Strong"/>
    <w:lsdException w:qFormat="1" w:unhideWhenUsed="0" w:uiPriority="0" w:semiHidden="0" w:name="Emphasis"/>
    <w:lsdException w:uiPriority="99" w:name="Document Map" w:locked="1"/>
    <w:lsdException w:uiPriority="99" w:name="Plain Text" w:locked="1"/>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uiPriority="99" w:name="Balloon Text" w:locked="1"/>
    <w:lsdException w:unhideWhenUsed="0" w:uiPriority="0"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10"/>
    <w:qFormat/>
    <w:locked/>
    <w:uiPriority w:val="99"/>
    <w:pPr>
      <w:widowControl/>
      <w:spacing w:before="100" w:beforeAutospacing="1" w:after="100" w:afterAutospacing="1"/>
      <w:jc w:val="left"/>
      <w:outlineLvl w:val="0"/>
    </w:pPr>
    <w:rPr>
      <w:rFonts w:ascii="宋体" w:hAnsi="宋体" w:cs="宋体"/>
      <w:b/>
      <w:bCs/>
      <w:kern w:val="36"/>
      <w:sz w:val="48"/>
      <w:szCs w:val="48"/>
    </w:rPr>
  </w:style>
  <w:style w:type="paragraph" w:styleId="3">
    <w:name w:val="heading 3"/>
    <w:basedOn w:val="1"/>
    <w:next w:val="1"/>
    <w:link w:val="11"/>
    <w:qFormat/>
    <w:uiPriority w:val="9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12"/>
    <w:qFormat/>
    <w:uiPriority w:val="99"/>
    <w:pPr>
      <w:tabs>
        <w:tab w:val="center" w:pos="4153"/>
        <w:tab w:val="right" w:pos="8306"/>
      </w:tabs>
      <w:snapToGrid w:val="0"/>
      <w:jc w:val="left"/>
    </w:pPr>
    <w:rPr>
      <w:kern w:val="0"/>
      <w:sz w:val="18"/>
      <w:szCs w:val="18"/>
    </w:rPr>
  </w:style>
  <w:style w:type="paragraph" w:styleId="5">
    <w:name w:val="header"/>
    <w:basedOn w:val="1"/>
    <w:link w:val="13"/>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kern w:val="0"/>
      <w:sz w:val="18"/>
      <w:szCs w:val="18"/>
    </w:rPr>
  </w:style>
  <w:style w:type="paragraph" w:styleId="6">
    <w:name w:val="Normal (Web)"/>
    <w:basedOn w:val="1"/>
    <w:qFormat/>
    <w:uiPriority w:val="99"/>
    <w:rPr>
      <w:sz w:val="24"/>
    </w:rPr>
  </w:style>
  <w:style w:type="character" w:styleId="9">
    <w:name w:val="Strong"/>
    <w:qFormat/>
    <w:uiPriority w:val="0"/>
    <w:rPr>
      <w:b/>
      <w:bCs/>
    </w:rPr>
  </w:style>
  <w:style w:type="character" w:customStyle="1" w:styleId="10">
    <w:name w:val="标题 1 Char"/>
    <w:basedOn w:val="8"/>
    <w:link w:val="2"/>
    <w:qFormat/>
    <w:locked/>
    <w:uiPriority w:val="99"/>
    <w:rPr>
      <w:rFonts w:ascii="宋体" w:hAnsi="宋体" w:eastAsia="宋体" w:cs="Times New Roman"/>
      <w:b/>
      <w:kern w:val="36"/>
      <w:sz w:val="48"/>
      <w:lang w:val="en-US" w:eastAsia="zh-CN"/>
    </w:rPr>
  </w:style>
  <w:style w:type="character" w:customStyle="1" w:styleId="11">
    <w:name w:val="标题 3 Char"/>
    <w:basedOn w:val="8"/>
    <w:link w:val="3"/>
    <w:semiHidden/>
    <w:qFormat/>
    <w:locked/>
    <w:uiPriority w:val="99"/>
    <w:rPr>
      <w:rFonts w:cs="Times New Roman"/>
      <w:b/>
      <w:bCs/>
      <w:sz w:val="32"/>
      <w:szCs w:val="32"/>
    </w:rPr>
  </w:style>
  <w:style w:type="character" w:customStyle="1" w:styleId="12">
    <w:name w:val="页脚 Char"/>
    <w:basedOn w:val="8"/>
    <w:link w:val="4"/>
    <w:semiHidden/>
    <w:qFormat/>
    <w:locked/>
    <w:uiPriority w:val="99"/>
    <w:rPr>
      <w:rFonts w:cs="Times New Roman"/>
      <w:sz w:val="18"/>
    </w:rPr>
  </w:style>
  <w:style w:type="character" w:customStyle="1" w:styleId="13">
    <w:name w:val="页眉 Char"/>
    <w:basedOn w:val="8"/>
    <w:link w:val="5"/>
    <w:semiHidden/>
    <w:qFormat/>
    <w:locked/>
    <w:uiPriority w:val="99"/>
    <w:rPr>
      <w:rFonts w:cs="Times New Roman"/>
      <w:sz w:val="18"/>
    </w:rPr>
  </w:style>
  <w:style w:type="paragraph" w:styleId="14">
    <w:name w:val="List Paragraph"/>
    <w:basedOn w:val="1"/>
    <w:qFormat/>
    <w:uiPriority w:val="99"/>
    <w:pPr>
      <w:ind w:firstLine="420" w:firstLineChars="200"/>
    </w:pPr>
    <w:rPr>
      <w:szCs w:val="22"/>
    </w:rPr>
  </w:style>
  <w:style w:type="paragraph" w:customStyle="1" w:styleId="15">
    <w:name w:val="列出段落1"/>
    <w:basedOn w:val="1"/>
    <w:qFormat/>
    <w:uiPriority w:val="99"/>
    <w:pPr>
      <w:ind w:firstLine="420" w:firstLineChars="200"/>
    </w:pPr>
    <w:rPr>
      <w:rFonts w:ascii="Times New Roman" w:hAnsi="Times New Roma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Pages>
  <Words>2757</Words>
  <Characters>2801</Characters>
  <Lines>38</Lines>
  <Paragraphs>10</Paragraphs>
  <TotalTime>24</TotalTime>
  <ScaleCrop>false</ScaleCrop>
  <LinksUpToDate>false</LinksUpToDate>
  <CharactersWithSpaces>2867</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2019-12-11T20:24:00Z</dcterms:created>
  <dc:creator>石光伦</dc:creator>
  <cp:lastModifiedBy>笨小孩</cp:lastModifiedBy>
  <dcterms:modified xsi:type="dcterms:W3CDTF">2024-09-14T03:07:21Z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09940F800EE54C6EB0F697FEE81496B4_12</vt:lpwstr>
  </property>
</Properties>
</file>