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BC41C">
      <w:pPr>
        <w:snapToGrid w:val="0"/>
        <w:jc w:val="center"/>
        <w:outlineLvl w:val="0"/>
        <w:rPr>
          <w:rFonts w:hint="eastAsia" w:ascii="华文中宋" w:hAnsi="华文中宋" w:eastAsia="华文中宋"/>
          <w:sz w:val="36"/>
          <w:szCs w:val="36"/>
          <w:highlight w:val="none"/>
        </w:rPr>
      </w:pPr>
      <w:r>
        <w:rPr>
          <w:rFonts w:hint="eastAsia" w:ascii="华文中宋" w:hAnsi="华文中宋" w:eastAsia="华文中宋"/>
          <w:sz w:val="36"/>
          <w:szCs w:val="36"/>
          <w:highlight w:val="none"/>
        </w:rPr>
        <w:t>202</w:t>
      </w:r>
      <w:r>
        <w:rPr>
          <w:rFonts w:hint="eastAsia" w:ascii="华文中宋" w:hAnsi="华文中宋" w:eastAsia="华文中宋"/>
          <w:sz w:val="36"/>
          <w:szCs w:val="36"/>
          <w:highlight w:val="none"/>
          <w:lang w:val="en-US" w:eastAsia="zh-CN"/>
        </w:rPr>
        <w:t>5</w:t>
      </w:r>
      <w:r>
        <w:rPr>
          <w:rFonts w:hint="eastAsia" w:ascii="华文中宋" w:hAnsi="华文中宋" w:eastAsia="华文中宋"/>
          <w:sz w:val="36"/>
          <w:szCs w:val="36"/>
          <w:highlight w:val="none"/>
        </w:rPr>
        <w:t>年度部门决算分析报告</w:t>
      </w:r>
    </w:p>
    <w:p w14:paraId="1609708F">
      <w:pPr>
        <w:snapToGrid w:val="0"/>
        <w:jc w:val="center"/>
        <w:outlineLvl w:val="0"/>
        <w:rPr>
          <w:rFonts w:hint="eastAsia" w:ascii="仿宋_GB2312" w:hAnsi="仿宋" w:eastAsia="仿宋_GB2312"/>
          <w:sz w:val="32"/>
          <w:szCs w:val="32"/>
        </w:rPr>
      </w:pPr>
      <w:r>
        <w:rPr>
          <w:rFonts w:hint="eastAsia" w:ascii="华文中宋" w:hAnsi="华文中宋" w:eastAsia="华文中宋"/>
          <w:sz w:val="36"/>
          <w:szCs w:val="36"/>
          <w:highlight w:val="none"/>
        </w:rPr>
        <w:t>（基层单位版）</w:t>
      </w:r>
    </w:p>
    <w:p w14:paraId="5DC5FF7E">
      <w:pPr>
        <w:snapToGrid w:val="0"/>
        <w:spacing w:line="520" w:lineRule="exact"/>
        <w:ind w:firstLine="640" w:firstLineChars="200"/>
        <w:rPr>
          <w:rFonts w:hint="eastAsia" w:ascii="黑体" w:hAnsi="黑体" w:eastAsia="黑体"/>
          <w:sz w:val="32"/>
          <w:szCs w:val="32"/>
          <w:highlight w:val="none"/>
        </w:rPr>
      </w:pPr>
      <w:bookmarkStart w:id="0" w:name="YS060101"/>
      <w:r>
        <w:rPr>
          <w:rFonts w:hint="eastAsia" w:ascii="黑体" w:hAnsi="黑体" w:eastAsia="黑体"/>
          <w:sz w:val="32"/>
          <w:szCs w:val="32"/>
        </w:rPr>
        <w:t>一</w:t>
      </w:r>
      <w:r>
        <w:rPr>
          <w:rFonts w:hint="eastAsia" w:ascii="黑体" w:hAnsi="黑体" w:eastAsia="黑体"/>
          <w:sz w:val="32"/>
          <w:szCs w:val="32"/>
          <w:highlight w:val="none"/>
        </w:rPr>
        <w:t>、单位情况</w:t>
      </w:r>
    </w:p>
    <w:bookmarkEnd w:id="0"/>
    <w:p w14:paraId="496F5745">
      <w:pPr>
        <w:snapToGrid w:val="0"/>
        <w:spacing w:line="520" w:lineRule="exact"/>
        <w:ind w:firstLine="643" w:firstLineChars="200"/>
        <w:rPr>
          <w:rFonts w:hint="eastAsia" w:ascii="楷体_GB2312" w:hAnsi="仿宋" w:eastAsia="楷体_GB2312"/>
          <w:b/>
          <w:sz w:val="32"/>
          <w:szCs w:val="32"/>
          <w:highlight w:val="none"/>
        </w:rPr>
      </w:pPr>
      <w:r>
        <w:rPr>
          <w:rFonts w:hint="eastAsia" w:ascii="楷体_GB2312" w:hAnsi="仿宋" w:eastAsia="楷体_GB2312"/>
          <w:b/>
          <w:sz w:val="32"/>
          <w:szCs w:val="32"/>
          <w:highlight w:val="none"/>
        </w:rPr>
        <w:t>（一）基本情况</w:t>
      </w:r>
    </w:p>
    <w:p w14:paraId="4350F86C">
      <w:pPr>
        <w:snapToGrid w:val="0"/>
        <w:spacing w:line="520" w:lineRule="exact"/>
        <w:ind w:firstLine="640" w:firstLineChars="200"/>
        <w:rPr>
          <w:rFonts w:ascii="楷体_GB2312" w:hAnsi="仿宋" w:eastAsia="楷体_GB2312"/>
          <w:b/>
          <w:sz w:val="32"/>
          <w:szCs w:val="32"/>
          <w:highlight w:val="none"/>
        </w:rPr>
      </w:pPr>
      <w:r>
        <w:rPr>
          <w:rFonts w:hint="eastAsia" w:ascii="仿宋_GB2312" w:hAnsi="仿宋" w:eastAsia="仿宋_GB2312"/>
          <w:sz w:val="32"/>
          <w:szCs w:val="32"/>
          <w:highlight w:val="none"/>
        </w:rPr>
        <w:t>1．主要职能。</w:t>
      </w:r>
    </w:p>
    <w:p w14:paraId="657811BD">
      <w:p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淄博高新技术产业开发区第</w:t>
      </w:r>
      <w:r>
        <w:rPr>
          <w:rFonts w:hint="eastAsia" w:ascii="仿宋_GB2312" w:hAnsi="仿宋" w:eastAsia="仿宋_GB2312"/>
          <w:sz w:val="32"/>
          <w:szCs w:val="32"/>
          <w:highlight w:val="none"/>
          <w:lang w:val="en-US" w:eastAsia="zh-CN"/>
        </w:rPr>
        <w:t>五</w:t>
      </w:r>
      <w:r>
        <w:rPr>
          <w:rFonts w:hint="eastAsia" w:ascii="仿宋_GB2312" w:hAnsi="仿宋" w:eastAsia="仿宋_GB2312"/>
          <w:sz w:val="32"/>
          <w:szCs w:val="32"/>
          <w:highlight w:val="none"/>
        </w:rPr>
        <w:t xml:space="preserve">小学始终坚持以实施小学德育教育为主导，促进基础教育发展为宗旨，实施素质教育为目标，开展各项业务教育，提高学生的综合素质。 </w:t>
      </w:r>
    </w:p>
    <w:p w14:paraId="3C5ACB02">
      <w:pPr>
        <w:numPr>
          <w:ilvl w:val="0"/>
          <w:numId w:val="1"/>
        </w:numPr>
        <w:snapToGrid w:val="0"/>
        <w:spacing w:line="52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 w:eastAsia="仿宋_GB2312"/>
          <w:sz w:val="32"/>
          <w:szCs w:val="32"/>
          <w:highlight w:val="none"/>
        </w:rPr>
        <w:t>机构情况。</w:t>
      </w:r>
    </w:p>
    <w:p w14:paraId="5937A46F">
      <w:pPr>
        <w:snapToGrid w:val="0"/>
        <w:spacing w:line="52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纳入2025年度部门决算汇编范围的独立核算单位共1个，单位机构无变化。</w:t>
      </w:r>
    </w:p>
    <w:p w14:paraId="3DCCF0CA">
      <w:pPr>
        <w:numPr>
          <w:ilvl w:val="0"/>
          <w:numId w:val="2"/>
        </w:num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人员情况</w:t>
      </w:r>
    </w:p>
    <w:p w14:paraId="784C47B1">
      <w:pPr>
        <w:snapToGrid w:val="0"/>
        <w:spacing w:line="52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2024年年末我单位在职人员51人，2025年末实有在职人员50人，与上年度相比减少1名人员。</w:t>
      </w:r>
    </w:p>
    <w:p w14:paraId="7BC411DF">
      <w:pPr>
        <w:numPr>
          <w:ilvl w:val="0"/>
          <w:numId w:val="3"/>
        </w:numPr>
        <w:snapToGrid w:val="0"/>
        <w:spacing w:line="520" w:lineRule="exact"/>
        <w:ind w:firstLine="643" w:firstLineChars="200"/>
        <w:rPr>
          <w:rFonts w:hint="eastAsia" w:ascii="楷体_GB2312" w:hAnsi="仿宋" w:eastAsia="楷体_GB2312"/>
          <w:b/>
          <w:sz w:val="32"/>
          <w:szCs w:val="32"/>
          <w:highlight w:val="none"/>
        </w:rPr>
      </w:pPr>
      <w:r>
        <w:rPr>
          <w:rFonts w:hint="eastAsia" w:ascii="楷体_GB2312" w:hAnsi="仿宋" w:eastAsia="楷体_GB2312"/>
          <w:b/>
          <w:sz w:val="32"/>
          <w:szCs w:val="32"/>
          <w:highlight w:val="none"/>
        </w:rPr>
        <w:t>当年取得的主要事业成效。</w:t>
      </w:r>
    </w:p>
    <w:p w14:paraId="2F2FB98E">
      <w:pPr>
        <w:snapToGrid w:val="0"/>
        <w:spacing w:line="52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2025年，高新区第五小学以习近平新时代中国特色社会主义思想为指导，紧扣立德树人根本任务，围绕“提升办学质量、促进师生全面发展”核心目标，统筹推进各项工作实现高质量发展。党建方面，通过扎实的思想、组织、作风建设与意识形态工作，将党建与教育教学深度融合，筑牢发展政治保障，支部各项活动规范有序开展，参学率达100%；教学教研上，以“成长”为主线，通过精细化管理、教师分层培养、教研科研深化、信息化与课程建设赋能，涌现出市级名师、区级骨干教师等优秀人才，学生在信息科技、机器人等赛事中斩获佳绩，学校获评空竹项目市级传承基地；德育美育以“和美教育”为品牌，完善德育课程体系，丰富少先队活动与艺体科技活动，深化家校社协同育人，女子足球队、空竹社团等屡获荣誉，德育品牌影响力持续扩大；后勤安全方面，规范后勤服务与食堂管理，全方位筑牢校园安全防线，通过常态化隐患排查、应急演练与设施升级，保障师生安全与校园有序运行。</w:t>
      </w:r>
    </w:p>
    <w:p w14:paraId="3567979E">
      <w:pPr>
        <w:pStyle w:val="11"/>
        <w:numPr>
          <w:ilvl w:val="0"/>
          <w:numId w:val="0"/>
        </w:numPr>
        <w:rPr>
          <w:rFonts w:hint="eastAsia"/>
        </w:rPr>
      </w:pPr>
    </w:p>
    <w:p w14:paraId="04056DB4">
      <w:pPr>
        <w:snapToGrid w:val="0"/>
        <w:spacing w:line="520" w:lineRule="exact"/>
        <w:ind w:firstLine="640" w:firstLineChars="200"/>
        <w:rPr>
          <w:rFonts w:hint="eastAsia" w:ascii="黑体" w:hAnsi="黑体" w:eastAsia="黑体"/>
          <w:sz w:val="32"/>
          <w:szCs w:val="32"/>
        </w:rPr>
      </w:pPr>
      <w:bookmarkStart w:id="1" w:name="YS060102"/>
      <w:r>
        <w:rPr>
          <w:rFonts w:hint="eastAsia" w:ascii="黑体" w:hAnsi="黑体" w:eastAsia="黑体"/>
          <w:sz w:val="32"/>
          <w:szCs w:val="32"/>
        </w:rPr>
        <w:t>二、收入支出预算执行情况分析</w:t>
      </w:r>
    </w:p>
    <w:bookmarkEnd w:id="1"/>
    <w:p w14:paraId="1E520D06">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（一）收入支出预算安排情况。</w:t>
      </w:r>
    </w:p>
    <w:p w14:paraId="1B2BEE64">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单位2025年年初预算安排1243.9万元，支出年初预算安排1243.9万元。上年年初预算安排1495.91万元，支出年初预算安排1495.91万元。</w:t>
      </w:r>
    </w:p>
    <w:p w14:paraId="0D275BB8">
      <w:pPr>
        <w:rPr>
          <w:rFonts w:hint="eastAsia" w:ascii="仿宋_GB2312" w:hAnsi="仿宋" w:eastAsia="宋体"/>
          <w:sz w:val="32"/>
          <w:szCs w:val="32"/>
          <w:lang w:val="en-US" w:eastAsia="zh-CN"/>
        </w:rPr>
      </w:pPr>
      <w:r>
        <w:rPr>
          <w:rFonts w:hint="eastAsia" w:ascii="仿宋_GB2312" w:hAnsi="仿宋" w:eastAsia="宋体"/>
          <w:sz w:val="32"/>
          <w:szCs w:val="32"/>
          <w:lang w:val="en-US" w:eastAsia="zh-CN"/>
        </w:rPr>
        <w:drawing>
          <wp:inline distT="0" distB="0" distL="114300" distR="114300">
            <wp:extent cx="5080000" cy="3058160"/>
            <wp:effectExtent l="4445" t="4445" r="1143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5231693">
      <w:pPr>
        <w:rPr>
          <w:rFonts w:hint="eastAsia" w:ascii="仿宋_GB2312" w:hAnsi="仿宋" w:eastAsia="宋体"/>
          <w:sz w:val="32"/>
          <w:szCs w:val="32"/>
          <w:lang w:val="en-US" w:eastAsia="zh-CN"/>
        </w:rPr>
      </w:pPr>
      <w:r>
        <w:rPr>
          <w:rFonts w:hint="eastAsia" w:ascii="仿宋_GB2312" w:hAnsi="仿宋" w:eastAsia="宋体"/>
          <w:sz w:val="32"/>
          <w:szCs w:val="32"/>
          <w:lang w:val="en-US" w:eastAsia="zh-CN"/>
        </w:rPr>
        <w:drawing>
          <wp:inline distT="0" distB="0" distL="114300" distR="114300">
            <wp:extent cx="5080000" cy="3810000"/>
            <wp:effectExtent l="4445" t="4445" r="5715" b="107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40BADC7">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（二）收入支出预算执行情况。</w:t>
      </w:r>
    </w:p>
    <w:p w14:paraId="2D8B5404">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2024年收入1312.42万元，2025年收入1497.64万元，</w:t>
      </w:r>
      <w:r>
        <w:rPr>
          <w:rFonts w:hint="eastAsia" w:ascii="仿宋_GB2312" w:hAnsi="仿宋" w:eastAsia="仿宋_GB2312"/>
          <w:sz w:val="32"/>
          <w:szCs w:val="32"/>
          <w:highlight w:val="none"/>
          <w:lang w:val="en-US" w:eastAsia="zh-CN"/>
        </w:rPr>
        <w:t>预算收入完成率为100%；2024年支出</w:t>
      </w:r>
      <w:r>
        <w:rPr>
          <w:rFonts w:hint="eastAsia" w:ascii="仿宋_GB2312" w:hAnsi="仿宋" w:eastAsia="仿宋_GB2312"/>
          <w:sz w:val="32"/>
          <w:szCs w:val="32"/>
          <w:lang w:val="en-US" w:eastAsia="zh-CN"/>
        </w:rPr>
        <w:t>1324.27</w:t>
      </w:r>
      <w:r>
        <w:rPr>
          <w:rFonts w:hint="eastAsia" w:ascii="仿宋_GB2312" w:hAnsi="仿宋" w:eastAsia="仿宋_GB2312"/>
          <w:sz w:val="32"/>
          <w:szCs w:val="32"/>
          <w:highlight w:val="none"/>
          <w:lang w:val="en-US" w:eastAsia="zh-CN"/>
        </w:rPr>
        <w:t>万元，2025年支出1497.64万元，当年预算支出完成率为100%。</w:t>
      </w:r>
    </w:p>
    <w:p w14:paraId="2445C68A">
      <w:pPr>
        <w:rPr>
          <w:rFonts w:hint="eastAsia" w:ascii="仿宋_GB2312" w:hAnsi="仿宋" w:eastAsia="宋体"/>
          <w:sz w:val="32"/>
          <w:szCs w:val="32"/>
          <w:lang w:val="en-US" w:eastAsia="zh-CN"/>
        </w:rPr>
      </w:pPr>
      <w:r>
        <w:rPr>
          <w:rFonts w:hint="eastAsia" w:ascii="仿宋_GB2312" w:hAnsi="仿宋" w:eastAsia="宋体"/>
          <w:sz w:val="32"/>
          <w:szCs w:val="32"/>
          <w:lang w:val="en-US" w:eastAsia="zh-CN"/>
        </w:rPr>
        <w:drawing>
          <wp:inline distT="0" distB="0" distL="114300" distR="114300">
            <wp:extent cx="5080000" cy="3810000"/>
            <wp:effectExtent l="4445" t="4445" r="5715" b="107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75F9987">
      <w:pPr>
        <w:rPr>
          <w:rFonts w:hint="eastAsia" w:ascii="仿宋_GB2312" w:hAnsi="仿宋" w:eastAsia="宋体"/>
          <w:sz w:val="32"/>
          <w:szCs w:val="32"/>
          <w:lang w:val="en-US" w:eastAsia="zh-CN"/>
        </w:rPr>
      </w:pPr>
      <w:r>
        <w:rPr>
          <w:rFonts w:hint="eastAsia" w:ascii="仿宋_GB2312" w:hAnsi="仿宋" w:eastAsia="宋体"/>
          <w:sz w:val="32"/>
          <w:szCs w:val="32"/>
          <w:lang w:val="en-US" w:eastAsia="zh-CN"/>
        </w:rPr>
        <w:drawing>
          <wp:inline distT="0" distB="0" distL="114300" distR="114300">
            <wp:extent cx="5080000" cy="3810000"/>
            <wp:effectExtent l="4445" t="4445" r="8255" b="825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6925A7">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1．收入支出与预算对比分析。</w:t>
      </w:r>
    </w:p>
    <w:p w14:paraId="3217AF54">
      <w:pPr>
        <w:snapToGrid w:val="0"/>
        <w:spacing w:line="520" w:lineRule="exact"/>
        <w:ind w:firstLine="640" w:firstLineChars="200"/>
        <w:rPr>
          <w:rFonts w:hint="eastAsia" w:ascii="仿宋_GB2312" w:hAnsi="仿宋" w:eastAsia="仿宋_GB2312"/>
          <w:sz w:val="32"/>
          <w:szCs w:val="32"/>
          <w:highlight w:val="yellow"/>
        </w:rPr>
      </w:pPr>
      <w:r>
        <w:rPr>
          <w:rFonts w:hint="eastAsia" w:ascii="仿宋_GB2312" w:hAnsi="仿宋" w:eastAsia="仿宋_GB2312"/>
          <w:sz w:val="32"/>
          <w:szCs w:val="32"/>
          <w:highlight w:val="none"/>
        </w:rPr>
        <w:t>（1）预、决算差异情况</w:t>
      </w:r>
      <w:r>
        <w:rPr>
          <w:rFonts w:hint="eastAsia" w:ascii="仿宋_GB2312" w:hAnsi="仿宋" w:eastAsia="仿宋_GB2312"/>
          <w:sz w:val="32"/>
          <w:szCs w:val="32"/>
          <w:highlight w:val="none"/>
          <w:lang w:eastAsia="zh-CN"/>
        </w:rPr>
        <w:t>表（单位：万元）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9"/>
        <w:gridCol w:w="1364"/>
        <w:gridCol w:w="2863"/>
        <w:gridCol w:w="1336"/>
      </w:tblGrid>
      <w:tr w14:paraId="13DE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3" w:type="dxa"/>
            <w:gridSpan w:val="2"/>
            <w:noWrap w:val="0"/>
            <w:vAlign w:val="top"/>
          </w:tcPr>
          <w:p w14:paraId="7B2C9D39">
            <w:pPr>
              <w:snapToGrid w:val="0"/>
              <w:spacing w:line="520" w:lineRule="exact"/>
              <w:jc w:val="center"/>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val="en-US" w:eastAsia="zh-CN"/>
              </w:rPr>
              <w:t>2025年</w:t>
            </w:r>
            <w:r>
              <w:rPr>
                <w:rFonts w:hint="eastAsia" w:ascii="仿宋_GB2312" w:hAnsi="仿宋" w:eastAsia="仿宋_GB2312"/>
                <w:sz w:val="32"/>
                <w:szCs w:val="32"/>
                <w:highlight w:val="none"/>
                <w:lang w:eastAsia="zh-CN"/>
              </w:rPr>
              <w:t>预算收入</w:t>
            </w:r>
          </w:p>
        </w:tc>
        <w:tc>
          <w:tcPr>
            <w:tcW w:w="4199" w:type="dxa"/>
            <w:gridSpan w:val="2"/>
            <w:noWrap w:val="0"/>
            <w:vAlign w:val="top"/>
          </w:tcPr>
          <w:p w14:paraId="7B552BA8">
            <w:pPr>
              <w:snapToGrid w:val="0"/>
              <w:spacing w:line="520" w:lineRule="exact"/>
              <w:jc w:val="center"/>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2025年决算收入</w:t>
            </w:r>
          </w:p>
        </w:tc>
      </w:tr>
      <w:tr w14:paraId="318C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3" w:type="dxa"/>
            <w:gridSpan w:val="2"/>
            <w:noWrap w:val="0"/>
            <w:vAlign w:val="top"/>
          </w:tcPr>
          <w:p w14:paraId="71BD8D97">
            <w:pPr>
              <w:snapToGrid w:val="0"/>
              <w:spacing w:line="520" w:lineRule="exact"/>
              <w:jc w:val="center"/>
              <w:rPr>
                <w:rFonts w:hint="default" w:ascii="仿宋_GB2312" w:hAnsi="仿宋" w:eastAsia="仿宋_GB2312"/>
                <w:sz w:val="32"/>
                <w:szCs w:val="32"/>
                <w:highlight w:val="none"/>
                <w:lang w:val="en-US" w:eastAsia="zh-CN"/>
              </w:rPr>
            </w:pPr>
            <w:r>
              <w:rPr>
                <w:rFonts w:hint="eastAsia" w:ascii="仿宋_GB2312" w:hAnsi="仿宋" w:eastAsia="仿宋_GB2312"/>
                <w:sz w:val="32"/>
                <w:szCs w:val="32"/>
                <w:lang w:val="en-US" w:eastAsia="zh-CN"/>
              </w:rPr>
              <w:t>1243.9</w:t>
            </w:r>
          </w:p>
        </w:tc>
        <w:tc>
          <w:tcPr>
            <w:tcW w:w="4199" w:type="dxa"/>
            <w:gridSpan w:val="2"/>
            <w:noWrap w:val="0"/>
            <w:vAlign w:val="top"/>
          </w:tcPr>
          <w:p w14:paraId="20025210">
            <w:pPr>
              <w:snapToGrid w:val="0"/>
              <w:spacing w:line="520" w:lineRule="exact"/>
              <w:jc w:val="center"/>
              <w:rPr>
                <w:rFonts w:hint="default" w:ascii="仿宋_GB2312" w:hAnsi="仿宋" w:eastAsia="仿宋_GB2312"/>
                <w:sz w:val="32"/>
                <w:szCs w:val="32"/>
                <w:highlight w:val="none"/>
                <w:lang w:val="en-US" w:eastAsia="zh-CN"/>
              </w:rPr>
            </w:pPr>
            <w:r>
              <w:rPr>
                <w:rFonts w:hint="eastAsia" w:ascii="仿宋_GB2312" w:hAnsi="仿宋" w:eastAsia="仿宋_GB2312"/>
                <w:sz w:val="32"/>
                <w:szCs w:val="32"/>
                <w:lang w:val="en-US" w:eastAsia="zh-CN"/>
              </w:rPr>
              <w:t>1497.64</w:t>
            </w:r>
          </w:p>
        </w:tc>
      </w:tr>
      <w:tr w14:paraId="4917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3" w:type="dxa"/>
            <w:gridSpan w:val="2"/>
            <w:noWrap w:val="0"/>
            <w:vAlign w:val="top"/>
          </w:tcPr>
          <w:p w14:paraId="770A6D45">
            <w:pPr>
              <w:snapToGrid w:val="0"/>
              <w:spacing w:line="520" w:lineRule="exact"/>
              <w:jc w:val="center"/>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2025年预算支出</w:t>
            </w:r>
          </w:p>
        </w:tc>
        <w:tc>
          <w:tcPr>
            <w:tcW w:w="4199" w:type="dxa"/>
            <w:gridSpan w:val="2"/>
            <w:noWrap w:val="0"/>
            <w:vAlign w:val="top"/>
          </w:tcPr>
          <w:p w14:paraId="63FBD84E">
            <w:pPr>
              <w:snapToGrid w:val="0"/>
              <w:spacing w:line="520" w:lineRule="exact"/>
              <w:ind w:firstLine="640" w:firstLineChars="200"/>
              <w:jc w:val="center"/>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2025年决算支出</w:t>
            </w:r>
          </w:p>
        </w:tc>
      </w:tr>
      <w:tr w14:paraId="4770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14:paraId="4DA11AE1">
            <w:pPr>
              <w:snapToGrid w:val="0"/>
              <w:spacing w:line="520" w:lineRule="exact"/>
              <w:jc w:val="center"/>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教育支出</w:t>
            </w:r>
          </w:p>
        </w:tc>
        <w:tc>
          <w:tcPr>
            <w:tcW w:w="1364" w:type="dxa"/>
            <w:noWrap w:val="0"/>
            <w:vAlign w:val="top"/>
          </w:tcPr>
          <w:p w14:paraId="172FC933">
            <w:pPr>
              <w:snapToGrid w:val="0"/>
              <w:spacing w:line="520" w:lineRule="exact"/>
              <w:jc w:val="center"/>
              <w:rPr>
                <w:rFonts w:hint="default" w:ascii="仿宋_GB2312" w:hAnsi="仿宋" w:eastAsia="仿宋_GB2312"/>
                <w:sz w:val="32"/>
                <w:szCs w:val="32"/>
                <w:highlight w:val="none"/>
                <w:lang w:val="en-US" w:eastAsia="zh-CN"/>
              </w:rPr>
            </w:pPr>
            <w:r>
              <w:rPr>
                <w:rFonts w:hint="eastAsia" w:ascii="仿宋_GB2312" w:hAnsi="仿宋" w:eastAsia="仿宋_GB2312"/>
                <w:sz w:val="32"/>
                <w:szCs w:val="32"/>
                <w:lang w:val="en-US" w:eastAsia="zh-CN"/>
              </w:rPr>
              <w:t>1243.9</w:t>
            </w:r>
          </w:p>
        </w:tc>
        <w:tc>
          <w:tcPr>
            <w:tcW w:w="2863" w:type="dxa"/>
            <w:noWrap w:val="0"/>
            <w:vAlign w:val="top"/>
          </w:tcPr>
          <w:p w14:paraId="47E707DC">
            <w:pPr>
              <w:snapToGrid w:val="0"/>
              <w:spacing w:line="520" w:lineRule="exact"/>
              <w:jc w:val="center"/>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教育支出</w:t>
            </w:r>
          </w:p>
        </w:tc>
        <w:tc>
          <w:tcPr>
            <w:tcW w:w="1336" w:type="dxa"/>
            <w:noWrap w:val="0"/>
            <w:vAlign w:val="top"/>
          </w:tcPr>
          <w:p w14:paraId="04FF3A09">
            <w:pPr>
              <w:snapToGrid w:val="0"/>
              <w:spacing w:line="520" w:lineRule="exact"/>
              <w:jc w:val="center"/>
              <w:rPr>
                <w:rFonts w:hint="default" w:ascii="仿宋_GB2312" w:hAnsi="仿宋" w:eastAsia="仿宋_GB2312"/>
                <w:sz w:val="32"/>
                <w:szCs w:val="32"/>
                <w:highlight w:val="none"/>
                <w:lang w:val="en-US" w:eastAsia="zh-CN"/>
              </w:rPr>
            </w:pPr>
            <w:r>
              <w:rPr>
                <w:rFonts w:hint="eastAsia" w:ascii="仿宋_GB2312" w:hAnsi="仿宋" w:eastAsia="仿宋_GB2312"/>
                <w:sz w:val="32"/>
                <w:szCs w:val="32"/>
                <w:lang w:val="en-US" w:eastAsia="zh-CN"/>
              </w:rPr>
              <w:t>1497.64</w:t>
            </w:r>
          </w:p>
        </w:tc>
      </w:tr>
    </w:tbl>
    <w:p w14:paraId="02C71692">
      <w:pPr>
        <w:numPr>
          <w:ilvl w:val="0"/>
          <w:numId w:val="4"/>
        </w:numPr>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差异原因分析。</w:t>
      </w:r>
    </w:p>
    <w:p w14:paraId="0BD838BD">
      <w:pPr>
        <w:numPr>
          <w:ilvl w:val="0"/>
          <w:numId w:val="0"/>
        </w:numPr>
        <w:ind w:firstLine="640" w:firstLineChars="200"/>
        <w:rPr>
          <w:rFonts w:hint="default" w:ascii="仿宋_GB2312" w:hAnsi="仿宋" w:eastAsia="仿宋_GB2312"/>
          <w:sz w:val="32"/>
          <w:szCs w:val="32"/>
          <w:highlight w:val="yellow"/>
          <w:lang w:val="en-US" w:eastAsia="zh-CN"/>
        </w:rPr>
      </w:pPr>
      <w:r>
        <w:rPr>
          <w:rFonts w:hint="eastAsia" w:ascii="仿宋_GB2312" w:hAnsi="仿宋" w:eastAsia="仿宋_GB2312"/>
          <w:sz w:val="32"/>
          <w:szCs w:val="32"/>
          <w:highlight w:val="none"/>
          <w:lang w:val="en-US" w:eastAsia="zh-CN"/>
        </w:rPr>
        <w:t>教育支出</w:t>
      </w:r>
      <w:r>
        <w:rPr>
          <w:rFonts w:hint="eastAsia" w:ascii="仿宋_GB2312" w:hAnsi="仿宋" w:eastAsia="仿宋_GB2312"/>
          <w:sz w:val="32"/>
          <w:szCs w:val="32"/>
          <w:highlight w:val="none"/>
          <w:vertAlign w:val="baseline"/>
          <w:lang w:eastAsia="zh-CN"/>
        </w:rPr>
        <w:t>较</w:t>
      </w:r>
      <w:r>
        <w:rPr>
          <w:rFonts w:hint="eastAsia" w:ascii="仿宋_GB2312" w:hAnsi="仿宋" w:eastAsia="仿宋_GB2312"/>
          <w:sz w:val="32"/>
          <w:szCs w:val="32"/>
          <w:highlight w:val="none"/>
          <w:vertAlign w:val="baseline"/>
          <w:lang w:val="en-US" w:eastAsia="zh-CN"/>
        </w:rPr>
        <w:t>年初</w:t>
      </w:r>
      <w:r>
        <w:rPr>
          <w:rFonts w:hint="eastAsia" w:ascii="仿宋_GB2312" w:hAnsi="仿宋" w:eastAsia="仿宋_GB2312"/>
          <w:sz w:val="32"/>
          <w:szCs w:val="32"/>
          <w:highlight w:val="none"/>
          <w:vertAlign w:val="baseline"/>
          <w:lang w:eastAsia="zh-CN"/>
        </w:rPr>
        <w:t>预</w:t>
      </w:r>
      <w:r>
        <w:rPr>
          <w:rFonts w:hint="eastAsia" w:ascii="仿宋_GB2312" w:hAnsi="仿宋" w:eastAsia="仿宋_GB2312"/>
          <w:sz w:val="32"/>
          <w:szCs w:val="32"/>
          <w:highlight w:val="none"/>
          <w:vertAlign w:val="baseline"/>
          <w:lang w:val="en-US" w:eastAsia="zh-CN"/>
        </w:rPr>
        <w:t>算增加253.74万元。</w:t>
      </w:r>
    </w:p>
    <w:p w14:paraId="7C247BDE">
      <w:pPr>
        <w:snapToGrid w:val="0"/>
        <w:spacing w:line="520" w:lineRule="exact"/>
        <w:ind w:firstLine="643" w:firstLineChars="200"/>
        <w:rPr>
          <w:rFonts w:hint="eastAsia" w:ascii="仿宋_GB2312" w:hAnsi="仿宋" w:eastAsia="仿宋_GB2312"/>
          <w:b/>
          <w:sz w:val="32"/>
          <w:szCs w:val="32"/>
          <w:highlight w:val="yellow"/>
        </w:rPr>
      </w:pPr>
      <w:r>
        <w:rPr>
          <w:rFonts w:hint="eastAsia" w:ascii="仿宋_GB2312" w:hAnsi="仿宋" w:eastAsia="仿宋_GB2312"/>
          <w:b/>
          <w:sz w:val="32"/>
          <w:szCs w:val="32"/>
          <w:highlight w:val="none"/>
        </w:rPr>
        <w:t>2．收入支出结构分析。</w:t>
      </w:r>
    </w:p>
    <w:p w14:paraId="3E2875F4">
      <w:pPr>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2025年收入1497.64万元，其中一般公共预算财政拨款1497.64万元，其他收入0万元。</w:t>
      </w:r>
    </w:p>
    <w:p w14:paraId="044674C6">
      <w:pPr>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drawing>
          <wp:inline distT="0" distB="0" distL="114300" distR="114300">
            <wp:extent cx="5080000" cy="3124835"/>
            <wp:effectExtent l="4445" t="4445" r="11430" b="1397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E97F05">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2025年支出1497.64万元，其中一般公共预算财政拨款支出1497.64万元，其他资金支出0万元。</w:t>
      </w:r>
    </w:p>
    <w:p w14:paraId="5C6786A2">
      <w:pPr>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drawing>
          <wp:inline distT="0" distB="0" distL="114300" distR="114300">
            <wp:extent cx="5080000" cy="3124835"/>
            <wp:effectExtent l="4445" t="4445" r="5715" b="1016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AEDA0D">
      <w:pPr>
        <w:numPr>
          <w:ilvl w:val="0"/>
          <w:numId w:val="0"/>
        </w:num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（2）2024年收入</w:t>
      </w:r>
      <w:r>
        <w:rPr>
          <w:rFonts w:hint="eastAsia" w:ascii="仿宋_GB2312" w:hAnsi="仿宋" w:eastAsia="仿宋_GB2312"/>
          <w:sz w:val="32"/>
          <w:szCs w:val="32"/>
          <w:lang w:val="en-US" w:eastAsia="zh-CN"/>
        </w:rPr>
        <w:t>1312.42</w:t>
      </w:r>
      <w:r>
        <w:rPr>
          <w:rFonts w:hint="eastAsia" w:ascii="仿宋_GB2312" w:hAnsi="仿宋" w:eastAsia="仿宋_GB2312"/>
          <w:sz w:val="32"/>
          <w:szCs w:val="32"/>
          <w:highlight w:val="none"/>
          <w:lang w:val="en-US" w:eastAsia="zh-CN"/>
        </w:rPr>
        <w:t>万元，2025年收入</w:t>
      </w:r>
      <w:r>
        <w:rPr>
          <w:rFonts w:hint="eastAsia" w:ascii="仿宋_GB2312" w:hAnsi="仿宋" w:eastAsia="仿宋_GB2312"/>
          <w:sz w:val="32"/>
          <w:szCs w:val="32"/>
          <w:lang w:val="en-US" w:eastAsia="zh-CN"/>
        </w:rPr>
        <w:t>1497.64</w:t>
      </w:r>
      <w:r>
        <w:rPr>
          <w:rFonts w:hint="eastAsia" w:ascii="仿宋_GB2312" w:hAnsi="仿宋" w:eastAsia="仿宋_GB2312"/>
          <w:sz w:val="32"/>
          <w:szCs w:val="32"/>
          <w:highlight w:val="none"/>
          <w:lang w:val="en-US" w:eastAsia="zh-CN"/>
        </w:rPr>
        <w:t>万元；2024年支出</w:t>
      </w:r>
      <w:r>
        <w:rPr>
          <w:rFonts w:hint="eastAsia" w:ascii="仿宋_GB2312" w:hAnsi="仿宋" w:eastAsia="仿宋_GB2312"/>
          <w:sz w:val="32"/>
          <w:szCs w:val="32"/>
          <w:lang w:val="en-US" w:eastAsia="zh-CN"/>
        </w:rPr>
        <w:t>1311.27</w:t>
      </w:r>
      <w:r>
        <w:rPr>
          <w:rFonts w:hint="eastAsia" w:ascii="仿宋_GB2312" w:hAnsi="仿宋" w:eastAsia="仿宋_GB2312"/>
          <w:sz w:val="32"/>
          <w:szCs w:val="32"/>
          <w:highlight w:val="none"/>
          <w:lang w:val="en-US" w:eastAsia="zh-CN"/>
        </w:rPr>
        <w:t>万元，2025年支出</w:t>
      </w:r>
      <w:r>
        <w:rPr>
          <w:rFonts w:hint="eastAsia" w:ascii="仿宋_GB2312" w:hAnsi="仿宋" w:eastAsia="仿宋_GB2312"/>
          <w:sz w:val="32"/>
          <w:szCs w:val="32"/>
          <w:lang w:val="en-US" w:eastAsia="zh-CN"/>
        </w:rPr>
        <w:t>1497.64</w:t>
      </w:r>
      <w:r>
        <w:rPr>
          <w:rFonts w:hint="eastAsia" w:ascii="仿宋_GB2312" w:hAnsi="仿宋" w:eastAsia="仿宋_GB2312"/>
          <w:sz w:val="32"/>
          <w:szCs w:val="32"/>
          <w:highlight w:val="none"/>
          <w:lang w:val="en-US" w:eastAsia="zh-CN"/>
        </w:rPr>
        <w:t>万元。</w:t>
      </w:r>
    </w:p>
    <w:p w14:paraId="7522B01B">
      <w:pPr>
        <w:numPr>
          <w:ilvl w:val="0"/>
          <w:numId w:val="0"/>
        </w:numPr>
        <w:rPr>
          <w:rFonts w:hint="eastAsia" w:ascii="仿宋_GB2312" w:hAnsi="仿宋" w:eastAsia="宋体"/>
          <w:sz w:val="32"/>
          <w:szCs w:val="32"/>
          <w:lang w:val="en-US" w:eastAsia="zh-CN"/>
        </w:rPr>
      </w:pPr>
      <w:r>
        <w:rPr>
          <w:rFonts w:hint="eastAsia" w:ascii="仿宋_GB2312" w:hAnsi="仿宋" w:eastAsia="宋体"/>
          <w:sz w:val="32"/>
          <w:szCs w:val="32"/>
          <w:lang w:val="en-US" w:eastAsia="zh-CN"/>
        </w:rPr>
        <w:drawing>
          <wp:inline distT="0" distB="0" distL="114300" distR="114300">
            <wp:extent cx="5080000" cy="3305810"/>
            <wp:effectExtent l="4445" t="4445" r="5715" b="1206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68D788">
      <w:pPr>
        <w:numPr>
          <w:ilvl w:val="0"/>
          <w:numId w:val="0"/>
        </w:numPr>
        <w:rPr>
          <w:rFonts w:hint="eastAsia" w:ascii="仿宋_GB2312" w:hAnsi="仿宋" w:eastAsia="宋体"/>
          <w:sz w:val="32"/>
          <w:szCs w:val="32"/>
          <w:lang w:val="en-US" w:eastAsia="zh-CN"/>
        </w:rPr>
      </w:pPr>
      <w:r>
        <w:rPr>
          <w:rFonts w:hint="eastAsia" w:ascii="仿宋_GB2312" w:hAnsi="仿宋" w:eastAsia="宋体"/>
          <w:sz w:val="32"/>
          <w:szCs w:val="32"/>
          <w:lang w:val="en-US" w:eastAsia="zh-CN"/>
        </w:rPr>
        <w:drawing>
          <wp:inline distT="0" distB="0" distL="114300" distR="114300">
            <wp:extent cx="5080000" cy="3543300"/>
            <wp:effectExtent l="5080" t="4445" r="10795"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D741EB">
      <w:pPr>
        <w:ind w:firstLine="643" w:firstLineChars="200"/>
        <w:rPr>
          <w:rFonts w:hint="eastAsia" w:ascii="仿宋_GB2312" w:hAnsi="仿宋" w:eastAsia="仿宋_GB2312"/>
          <w:b/>
          <w:sz w:val="32"/>
          <w:szCs w:val="32"/>
        </w:rPr>
      </w:pPr>
      <w:r>
        <w:rPr>
          <w:rFonts w:hint="eastAsia" w:ascii="仿宋_GB2312" w:hAnsi="仿宋" w:eastAsia="仿宋_GB2312"/>
          <w:b/>
          <w:sz w:val="32"/>
          <w:szCs w:val="32"/>
        </w:rPr>
        <w:t>3．支出按经济分类科目分析。</w:t>
      </w:r>
    </w:p>
    <w:p w14:paraId="12DBE002">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highlight w:val="none"/>
        </w:rPr>
        <w:t>“三公”经费支出情况：</w:t>
      </w:r>
    </w:p>
    <w:p w14:paraId="1E600F50">
      <w:pPr>
        <w:ind w:firstLine="640" w:firstLineChars="200"/>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2025年无三公经费支出。</w:t>
      </w:r>
    </w:p>
    <w:p w14:paraId="045EB998">
      <w:pPr>
        <w:numPr>
          <w:ilvl w:val="0"/>
          <w:numId w:val="5"/>
        </w:numPr>
        <w:ind w:left="0" w:leftChars="0"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会议费支出情况：</w:t>
      </w:r>
    </w:p>
    <w:p w14:paraId="3CC248E6">
      <w:pPr>
        <w:numPr>
          <w:ilvl w:val="0"/>
          <w:numId w:val="0"/>
        </w:numPr>
        <w:ind w:firstLine="640" w:firstLineChars="200"/>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2025年无支出，较上年无变化。</w:t>
      </w:r>
    </w:p>
    <w:p w14:paraId="75A5C3FB">
      <w:pPr>
        <w:numPr>
          <w:ilvl w:val="0"/>
          <w:numId w:val="5"/>
        </w:numPr>
        <w:ind w:left="0" w:leftChars="0" w:firstLine="640" w:firstLineChars="200"/>
        <w:rPr>
          <w:rFonts w:hint="eastAsia" w:ascii="仿宋_GB2312" w:hAnsi="仿宋" w:eastAsia="仿宋_GB2312" w:cs="仿宋"/>
          <w:color w:val="000000"/>
          <w:sz w:val="32"/>
          <w:szCs w:val="32"/>
          <w:lang w:eastAsia="zh-CN"/>
        </w:rPr>
      </w:pPr>
      <w:r>
        <w:rPr>
          <w:rFonts w:hint="eastAsia" w:ascii="仿宋_GB2312" w:hAnsi="仿宋" w:eastAsia="仿宋_GB2312" w:cs="仿宋"/>
          <w:color w:val="000000"/>
          <w:sz w:val="32"/>
          <w:szCs w:val="32"/>
          <w:lang w:eastAsia="zh-CN"/>
        </w:rPr>
        <w:t>培训费支出情况：</w:t>
      </w:r>
    </w:p>
    <w:p w14:paraId="37775B93">
      <w:pPr>
        <w:numPr>
          <w:ilvl w:val="0"/>
          <w:numId w:val="0"/>
        </w:numPr>
        <w:ind w:firstLine="640" w:firstLineChars="200"/>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2024年培训费为1.49万元，2025年培训费为0.7万元，培训费用支出减少0.79万元。</w:t>
      </w:r>
    </w:p>
    <w:p w14:paraId="6FCF1CC2">
      <w:pPr>
        <w:numPr>
          <w:ilvl w:val="0"/>
          <w:numId w:val="5"/>
        </w:numPr>
        <w:ind w:left="0" w:leftChars="0" w:firstLine="640" w:firstLineChars="200"/>
        <w:rPr>
          <w:rFonts w:hint="eastAsia" w:ascii="仿宋_GB2312" w:hAnsi="仿宋" w:eastAsia="仿宋_GB2312" w:cs="仿宋"/>
          <w:color w:val="000000"/>
          <w:sz w:val="32"/>
          <w:szCs w:val="32"/>
          <w:lang w:eastAsia="zh-CN"/>
        </w:rPr>
      </w:pPr>
      <w:r>
        <w:rPr>
          <w:rFonts w:hint="eastAsia" w:ascii="仿宋_GB2312" w:hAnsi="仿宋" w:eastAsia="仿宋_GB2312" w:cs="仿宋"/>
          <w:color w:val="000000"/>
          <w:sz w:val="32"/>
          <w:szCs w:val="32"/>
          <w:lang w:eastAsia="zh-CN"/>
        </w:rPr>
        <w:t>其他对单位影响较大的支出情况。</w:t>
      </w:r>
    </w:p>
    <w:p w14:paraId="60AE340F">
      <w:pPr>
        <w:numPr>
          <w:ilvl w:val="0"/>
          <w:numId w:val="0"/>
        </w:numPr>
        <w:ind w:firstLine="640" w:firstLineChars="200"/>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2024年其他收入1.15万元，2025年其他收入0万元。</w:t>
      </w:r>
    </w:p>
    <w:p w14:paraId="1C9108E6">
      <w:pPr>
        <w:ind w:firstLine="643" w:firstLineChars="200"/>
        <w:rPr>
          <w:rFonts w:hint="eastAsia" w:ascii="仿宋_GB2312" w:hAnsi="仿宋" w:eastAsia="仿宋_GB2312"/>
          <w:b/>
          <w:sz w:val="32"/>
          <w:szCs w:val="32"/>
          <w:highlight w:val="yellow"/>
        </w:rPr>
      </w:pPr>
      <w:r>
        <w:rPr>
          <w:rFonts w:hint="eastAsia" w:ascii="仿宋_GB2312" w:hAnsi="仿宋" w:eastAsia="仿宋_GB2312"/>
          <w:b/>
          <w:sz w:val="32"/>
          <w:szCs w:val="32"/>
          <w:highlight w:val="none"/>
        </w:rPr>
        <w:t>4.财政拨款收入、支出分析</w:t>
      </w:r>
    </w:p>
    <w:p w14:paraId="2781FB33">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2025年收入1497.64万元，2025年总共支出1497.64万元，基本支出1402.53万元，项目支出108.11万元，项目支出比率为7.21%。</w:t>
      </w:r>
    </w:p>
    <w:p w14:paraId="3BEBD44A">
      <w:pPr>
        <w:ind w:firstLine="643" w:firstLineChars="200"/>
        <w:rPr>
          <w:rFonts w:hint="eastAsia" w:ascii="仿宋_GB2312" w:hAnsi="仿宋" w:eastAsia="仿宋_GB2312"/>
          <w:b/>
          <w:sz w:val="32"/>
          <w:szCs w:val="32"/>
        </w:rPr>
      </w:pPr>
      <w:r>
        <w:rPr>
          <w:rFonts w:hint="eastAsia" w:ascii="仿宋_GB2312" w:hAnsi="仿宋" w:eastAsia="仿宋_GB2312"/>
          <w:b/>
          <w:sz w:val="32"/>
          <w:szCs w:val="32"/>
        </w:rPr>
        <w:t>5.非财政拨款收入分析。</w:t>
      </w:r>
    </w:p>
    <w:p w14:paraId="10F6D72B">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本年无</w:t>
      </w:r>
      <w:r>
        <w:rPr>
          <w:rFonts w:hint="eastAsia" w:ascii="仿宋_GB2312" w:hAnsi="仿宋" w:eastAsia="仿宋_GB2312"/>
          <w:sz w:val="32"/>
          <w:szCs w:val="32"/>
        </w:rPr>
        <w:t>非财政拨款收入</w:t>
      </w:r>
      <w:r>
        <w:rPr>
          <w:rFonts w:hint="eastAsia" w:ascii="仿宋_GB2312" w:hAnsi="仿宋" w:eastAsia="仿宋_GB2312"/>
          <w:sz w:val="32"/>
          <w:szCs w:val="32"/>
          <w:lang w:eastAsia="zh-CN"/>
        </w:rPr>
        <w:t>。</w:t>
      </w:r>
    </w:p>
    <w:p w14:paraId="221BA0BE">
      <w:pPr>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（三）年末结转和结余情况。</w:t>
      </w:r>
    </w:p>
    <w:p w14:paraId="253C5143">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本单位2025年非</w:t>
      </w:r>
      <w:r>
        <w:rPr>
          <w:rFonts w:hint="eastAsia" w:ascii="仿宋_GB2312" w:hAnsi="仿宋" w:eastAsia="仿宋_GB2312"/>
          <w:sz w:val="32"/>
          <w:szCs w:val="32"/>
        </w:rPr>
        <w:t>财政拨款结转结余</w:t>
      </w:r>
      <w:r>
        <w:rPr>
          <w:rFonts w:hint="eastAsia" w:ascii="仿宋_GB2312" w:hAnsi="仿宋" w:eastAsia="仿宋_GB2312"/>
          <w:sz w:val="32"/>
          <w:szCs w:val="32"/>
          <w:lang w:val="en-US" w:eastAsia="zh-CN"/>
        </w:rPr>
        <w:t>为12.2万元</w:t>
      </w:r>
      <w:r>
        <w:rPr>
          <w:rFonts w:hint="eastAsia" w:ascii="仿宋_GB2312" w:hAnsi="仿宋" w:eastAsia="仿宋_GB2312"/>
          <w:sz w:val="32"/>
          <w:szCs w:val="32"/>
          <w:lang w:eastAsia="zh-CN"/>
        </w:rPr>
        <w:t>。</w:t>
      </w:r>
    </w:p>
    <w:p w14:paraId="46954B8C">
      <w:pPr>
        <w:ind w:firstLine="643" w:firstLineChars="200"/>
        <w:rPr>
          <w:rFonts w:hint="eastAsia" w:ascii="楷体_GB2312" w:hAnsi="仿宋" w:eastAsia="楷体_GB2312"/>
          <w:b/>
          <w:sz w:val="32"/>
          <w:szCs w:val="32"/>
          <w:highlight w:val="none"/>
        </w:rPr>
      </w:pPr>
      <w:r>
        <w:rPr>
          <w:rFonts w:hint="eastAsia" w:ascii="楷体_GB2312" w:hAnsi="仿宋" w:eastAsia="楷体_GB2312"/>
          <w:b/>
          <w:sz w:val="32"/>
          <w:szCs w:val="32"/>
          <w:highlight w:val="none"/>
        </w:rPr>
        <w:t>（四）与预算支出相关的其他指标分析。</w:t>
      </w:r>
    </w:p>
    <w:p w14:paraId="2B7C822C">
      <w:pPr>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2023年货币资金中银行存款39.52万元，2024年货币资金银行存款为27.02</w:t>
      </w:r>
      <w:bookmarkStart w:id="5" w:name="_GoBack"/>
      <w:bookmarkEnd w:id="5"/>
      <w:r>
        <w:rPr>
          <w:rFonts w:hint="eastAsia" w:ascii="仿宋_GB2312" w:hAnsi="仿宋" w:eastAsia="仿宋_GB2312"/>
          <w:sz w:val="32"/>
          <w:szCs w:val="32"/>
          <w:lang w:val="en-US" w:eastAsia="zh-CN"/>
        </w:rPr>
        <w:t>万元。2024年应缴财政款0万元，2025年应缴财政款为0万元，无应缴财政款</w:t>
      </w:r>
      <w:r>
        <w:rPr>
          <w:rFonts w:hint="eastAsia" w:ascii="仿宋_GB2312" w:hAnsi="仿宋" w:eastAsia="仿宋_GB2312"/>
          <w:sz w:val="32"/>
          <w:szCs w:val="32"/>
          <w:highlight w:val="none"/>
          <w:lang w:val="en-US" w:eastAsia="zh-CN"/>
        </w:rPr>
        <w:t>。</w:t>
      </w:r>
    </w:p>
    <w:p w14:paraId="129CB11B">
      <w:pPr>
        <w:numPr>
          <w:ilvl w:val="0"/>
          <w:numId w:val="0"/>
        </w:numPr>
        <w:ind w:firstLine="643" w:firstLineChars="200"/>
        <w:rPr>
          <w:rFonts w:hint="eastAsia" w:ascii="楷体_GB2312" w:hAnsi="仿宋" w:eastAsia="楷体_GB2312"/>
          <w:b/>
          <w:sz w:val="32"/>
          <w:szCs w:val="32"/>
          <w:highlight w:val="yellow"/>
        </w:rPr>
      </w:pPr>
      <w:r>
        <w:rPr>
          <w:rFonts w:hint="eastAsia" w:ascii="楷体_GB2312" w:hAnsi="仿宋" w:eastAsia="楷体_GB2312"/>
          <w:b/>
          <w:sz w:val="32"/>
          <w:szCs w:val="32"/>
          <w:highlight w:val="none"/>
          <w:lang w:eastAsia="zh-CN"/>
        </w:rPr>
        <w:t>（</w:t>
      </w:r>
      <w:r>
        <w:rPr>
          <w:rFonts w:hint="eastAsia" w:ascii="楷体_GB2312" w:hAnsi="仿宋" w:eastAsia="楷体_GB2312"/>
          <w:b/>
          <w:sz w:val="32"/>
          <w:szCs w:val="32"/>
          <w:highlight w:val="none"/>
          <w:lang w:val="en-US" w:eastAsia="zh-CN"/>
        </w:rPr>
        <w:t>五</w:t>
      </w:r>
      <w:r>
        <w:rPr>
          <w:rFonts w:hint="eastAsia" w:ascii="楷体_GB2312" w:hAnsi="仿宋" w:eastAsia="楷体_GB2312"/>
          <w:b/>
          <w:sz w:val="32"/>
          <w:szCs w:val="32"/>
          <w:highlight w:val="none"/>
          <w:lang w:eastAsia="zh-CN"/>
        </w:rPr>
        <w:t>）</w:t>
      </w:r>
      <w:r>
        <w:rPr>
          <w:rFonts w:hint="eastAsia" w:ascii="楷体_GB2312" w:hAnsi="仿宋" w:eastAsia="楷体_GB2312"/>
          <w:b/>
          <w:sz w:val="32"/>
          <w:szCs w:val="32"/>
          <w:highlight w:val="none"/>
        </w:rPr>
        <w:t>绩效目标完成情况。</w:t>
      </w:r>
    </w:p>
    <w:p w14:paraId="73645530">
      <w:pPr>
        <w:numPr>
          <w:ilvl w:val="0"/>
          <w:numId w:val="6"/>
        </w:num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概述项目绩效目标完成情况。</w:t>
      </w:r>
    </w:p>
    <w:p w14:paraId="5462F260">
      <w:pPr>
        <w:spacing w:before="23" w:beforeLines="0" w:afterLines="0" w:line="364" w:lineRule="auto"/>
        <w:rPr>
          <w:rFonts w:hint="default" w:eastAsia="宋体"/>
          <w:lang w:val="en-US" w:eastAsia="zh-CN"/>
        </w:rPr>
      </w:pPr>
      <w:r>
        <w:rPr>
          <w:rFonts w:hint="eastAsia"/>
          <w:lang w:val="en-US" w:eastAsia="zh-CN"/>
        </w:rPr>
        <w:t xml:space="preserve">   </w:t>
      </w:r>
      <w:r>
        <w:rPr>
          <w:rFonts w:hint="eastAsia" w:ascii="仿宋_GB2312" w:hAnsi="仿宋" w:eastAsia="仿宋_GB2312"/>
          <w:sz w:val="32"/>
          <w:szCs w:val="32"/>
        </w:rPr>
        <w:t>已按期完成</w:t>
      </w:r>
      <w:r>
        <w:rPr>
          <w:rFonts w:ascii="仿宋_GB2312" w:hAnsi="仿宋" w:eastAsia="仿宋_GB2312"/>
          <w:sz w:val="32"/>
          <w:szCs w:val="32"/>
        </w:rPr>
        <w:t>年初设置的人员类</w:t>
      </w:r>
      <w:r>
        <w:rPr>
          <w:rFonts w:hint="eastAsia" w:ascii="仿宋_GB2312" w:hAnsi="仿宋" w:eastAsia="仿宋_GB2312"/>
          <w:sz w:val="32"/>
          <w:szCs w:val="32"/>
        </w:rPr>
        <w:t>、</w:t>
      </w:r>
      <w:r>
        <w:rPr>
          <w:rFonts w:ascii="仿宋_GB2312" w:hAnsi="仿宋" w:eastAsia="仿宋_GB2312"/>
          <w:sz w:val="32"/>
          <w:szCs w:val="32"/>
        </w:rPr>
        <w:t>公用经费类和</w:t>
      </w:r>
      <w:r>
        <w:rPr>
          <w:rFonts w:hint="eastAsia" w:ascii="仿宋_GB2312" w:hAnsi="仿宋" w:eastAsia="仿宋_GB2312"/>
          <w:sz w:val="32"/>
          <w:szCs w:val="32"/>
          <w:lang w:eastAsia="zh-CN"/>
        </w:rPr>
        <w:t>特定目标类项目</w:t>
      </w:r>
      <w:r>
        <w:rPr>
          <w:rFonts w:ascii="仿宋_GB2312" w:hAnsi="仿宋" w:eastAsia="仿宋_GB2312"/>
          <w:sz w:val="32"/>
          <w:szCs w:val="32"/>
        </w:rPr>
        <w:t>的绩效目标</w:t>
      </w:r>
      <w:r>
        <w:rPr>
          <w:rFonts w:hint="eastAsia" w:ascii="仿宋_GB2312" w:hAnsi="仿宋" w:eastAsia="仿宋_GB2312"/>
          <w:sz w:val="32"/>
          <w:szCs w:val="32"/>
        </w:rPr>
        <w:t xml:space="preserve">。项目支出绩效管理的重视程度进一步提升，所有项目有序开展，执行和完成情况较好，资金使用比较规范,均达到了年初设定的绩效目标和指标，总体运行情况良好。 </w:t>
      </w:r>
    </w:p>
    <w:p w14:paraId="4677BD14">
      <w:pPr>
        <w:numPr>
          <w:ilvl w:val="0"/>
          <w:numId w:val="0"/>
        </w:num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概述本单位整体支出绩效目标实现情况。</w:t>
      </w:r>
    </w:p>
    <w:p w14:paraId="5B8EED37">
      <w:pPr>
        <w:ind w:firstLine="640" w:firstLineChars="200"/>
        <w:jc w:val="left"/>
        <w:rPr>
          <w:rFonts w:eastAsia="仿宋_GB2312"/>
          <w:sz w:val="32"/>
          <w:szCs w:val="32"/>
        </w:rPr>
      </w:pPr>
      <w:r>
        <w:rPr>
          <w:rFonts w:eastAsia="仿宋_GB2312"/>
          <w:sz w:val="32"/>
          <w:szCs w:val="32"/>
        </w:rPr>
        <w:t>项目自评结果总体情况良好，项目立项程序完整、规范，设置了明确的绩效目标，财务相关管理制度健全，预算执行及时、有效，活动开展及时有效，群众满意度较高，基本实现了预期。</w:t>
      </w:r>
    </w:p>
    <w:p w14:paraId="3A4F3A4C">
      <w:pPr>
        <w:ind w:firstLine="640" w:firstLineChars="200"/>
        <w:jc w:val="left"/>
        <w:rPr>
          <w:rFonts w:hint="eastAsia" w:eastAsia="仿宋_GB2312"/>
          <w:sz w:val="32"/>
          <w:szCs w:val="32"/>
        </w:rPr>
      </w:pPr>
      <w:r>
        <w:rPr>
          <w:rFonts w:hint="eastAsia" w:eastAsia="仿宋_GB2312"/>
          <w:sz w:val="32"/>
          <w:szCs w:val="32"/>
        </w:rPr>
        <w:t>虽然项目支出绩效管理的重视程度进一步提升，项目有序开展，执行和完成情况良好，资金使用比较规范，但是也存在着不足之处，部分目标设置有待进一步优化，部分项目产出指标与预期有差距等问题。</w:t>
      </w:r>
    </w:p>
    <w:p w14:paraId="1F1E5C61">
      <w:pPr>
        <w:numPr>
          <w:ilvl w:val="0"/>
          <w:numId w:val="0"/>
        </w:numPr>
        <w:ind w:leftChars="200"/>
        <w:rPr>
          <w:rFonts w:hint="eastAsia" w:ascii="楷体_GB2312" w:hAnsi="仿宋" w:eastAsia="楷体_GB2312"/>
          <w:b/>
          <w:sz w:val="32"/>
          <w:szCs w:val="32"/>
          <w:highlight w:val="none"/>
        </w:rPr>
      </w:pPr>
      <w:r>
        <w:rPr>
          <w:rFonts w:hint="eastAsia" w:ascii="楷体_GB2312" w:hAnsi="仿宋" w:eastAsia="楷体_GB2312"/>
          <w:b/>
          <w:sz w:val="32"/>
          <w:szCs w:val="32"/>
          <w:highlight w:val="none"/>
          <w:lang w:eastAsia="zh-CN"/>
        </w:rPr>
        <w:t>（</w:t>
      </w:r>
      <w:r>
        <w:rPr>
          <w:rFonts w:hint="eastAsia" w:ascii="楷体_GB2312" w:hAnsi="仿宋" w:eastAsia="楷体_GB2312"/>
          <w:b/>
          <w:sz w:val="32"/>
          <w:szCs w:val="32"/>
          <w:highlight w:val="none"/>
          <w:lang w:val="en-US" w:eastAsia="zh-CN"/>
        </w:rPr>
        <w:t>六</w:t>
      </w:r>
      <w:r>
        <w:rPr>
          <w:rFonts w:hint="eastAsia" w:ascii="楷体_GB2312" w:hAnsi="仿宋" w:eastAsia="楷体_GB2312"/>
          <w:b/>
          <w:sz w:val="32"/>
          <w:szCs w:val="32"/>
          <w:highlight w:val="none"/>
          <w:lang w:eastAsia="zh-CN"/>
        </w:rPr>
        <w:t>）</w:t>
      </w:r>
      <w:r>
        <w:rPr>
          <w:rFonts w:hint="eastAsia" w:ascii="楷体_GB2312" w:hAnsi="仿宋" w:eastAsia="楷体_GB2312"/>
          <w:b/>
          <w:sz w:val="32"/>
          <w:szCs w:val="32"/>
          <w:highlight w:val="none"/>
        </w:rPr>
        <w:t>当年预算执行及绩效管理中存在问题、原因及改进措施。</w:t>
      </w:r>
    </w:p>
    <w:p w14:paraId="50F704ED">
      <w:pPr>
        <w:ind w:firstLine="640" w:firstLineChars="200"/>
        <w:jc w:val="left"/>
        <w:rPr>
          <w:rFonts w:hint="eastAsia" w:eastAsia="仿宋_GB2312"/>
          <w:sz w:val="32"/>
          <w:szCs w:val="32"/>
        </w:rPr>
      </w:pPr>
      <w:r>
        <w:rPr>
          <w:rFonts w:hint="eastAsia" w:eastAsia="仿宋_GB2312"/>
          <w:sz w:val="32"/>
          <w:szCs w:val="32"/>
        </w:rPr>
        <w:t>1.对自评结果进行通报反馈，将相关情况反馈到项目执行科室，对项目进行总结回顾，查缺补漏，对需要改进的地方积极反思，创新工作方式方法，不断完善项目。</w:t>
      </w:r>
    </w:p>
    <w:p w14:paraId="5CBE14C6">
      <w:pPr>
        <w:ind w:firstLine="640" w:firstLineChars="200"/>
        <w:jc w:val="left"/>
        <w:rPr>
          <w:rFonts w:hint="eastAsia" w:eastAsia="仿宋_GB2312"/>
          <w:sz w:val="32"/>
          <w:szCs w:val="32"/>
        </w:rPr>
      </w:pPr>
      <w:r>
        <w:rPr>
          <w:rFonts w:hint="eastAsia" w:eastAsia="仿宋_GB2312"/>
          <w:sz w:val="32"/>
          <w:szCs w:val="32"/>
        </w:rPr>
        <w:t>2.进一步优化项目指标，注重其科学性、实用性、可实现性和可操作性，尽可能的设计客观性的量化指标，并适当使用定性指标；及关注部门的工作目标，也考虑受益者、社会公众的体验和感受，做到相互补充，科学可行。</w:t>
      </w:r>
    </w:p>
    <w:p w14:paraId="4601AA55">
      <w:pPr>
        <w:ind w:firstLine="640" w:firstLineChars="200"/>
        <w:jc w:val="left"/>
        <w:rPr>
          <w:rFonts w:hint="eastAsia" w:eastAsia="仿宋_GB2312"/>
          <w:sz w:val="32"/>
          <w:szCs w:val="32"/>
        </w:rPr>
      </w:pPr>
      <w:r>
        <w:rPr>
          <w:rFonts w:hint="eastAsia" w:eastAsia="仿宋_GB2312"/>
          <w:sz w:val="32"/>
          <w:szCs w:val="32"/>
        </w:rPr>
        <w:t>3.进一步建立健全预算管理和资金管理制度，加强资金监管，明确工作责任，提升工作积极性，从而促进项目预算的有序进行。</w:t>
      </w:r>
    </w:p>
    <w:p w14:paraId="43871D6B">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rPr>
        <w:t>三、本年度部门决算等财务工作开展情况</w:t>
      </w:r>
    </w:p>
    <w:p w14:paraId="7C7EC6B4">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（一）本单位</w:t>
      </w:r>
      <w:r>
        <w:rPr>
          <w:rFonts w:hint="eastAsia" w:ascii="仿宋_GB2312" w:hAnsi="仿宋" w:eastAsia="仿宋_GB2312"/>
          <w:sz w:val="32"/>
          <w:szCs w:val="32"/>
          <w:highlight w:val="none"/>
          <w:lang w:eastAsia="zh-CN"/>
        </w:rPr>
        <w:t>按照</w:t>
      </w:r>
      <w:r>
        <w:rPr>
          <w:rFonts w:hint="eastAsia" w:ascii="仿宋_GB2312" w:hAnsi="仿宋" w:eastAsia="仿宋_GB2312"/>
          <w:sz w:val="32"/>
          <w:szCs w:val="32"/>
          <w:highlight w:val="none"/>
        </w:rPr>
        <w:t>财务管理</w:t>
      </w:r>
      <w:r>
        <w:rPr>
          <w:rFonts w:hint="eastAsia" w:ascii="仿宋_GB2312" w:hAnsi="仿宋" w:eastAsia="仿宋_GB2312"/>
          <w:sz w:val="32"/>
          <w:szCs w:val="32"/>
          <w:highlight w:val="none"/>
          <w:lang w:eastAsia="zh-CN"/>
        </w:rPr>
        <w:t>制度要求，出台了本单位财务管理制度和内部控制手册，严格执行各项资金申请、支付流程。进行</w:t>
      </w:r>
      <w:r>
        <w:rPr>
          <w:rFonts w:hint="eastAsia" w:ascii="仿宋_GB2312" w:hAnsi="仿宋" w:eastAsia="仿宋_GB2312"/>
          <w:sz w:val="32"/>
          <w:szCs w:val="32"/>
          <w:highlight w:val="none"/>
        </w:rPr>
        <w:t>绩效管理</w:t>
      </w:r>
      <w:r>
        <w:rPr>
          <w:rFonts w:hint="eastAsia" w:ascii="仿宋_GB2312" w:hAnsi="仿宋" w:eastAsia="仿宋_GB2312"/>
          <w:sz w:val="32"/>
          <w:szCs w:val="32"/>
          <w:highlight w:val="none"/>
          <w:lang w:eastAsia="zh-CN"/>
        </w:rPr>
        <w:t>，编制绩效目标表，实行年中绩效监控和年末绩效自评。按照财政要求，按时保质保量完成</w:t>
      </w:r>
      <w:r>
        <w:rPr>
          <w:rFonts w:hint="eastAsia" w:ascii="仿宋_GB2312" w:hAnsi="仿宋" w:eastAsia="仿宋_GB2312"/>
          <w:sz w:val="32"/>
          <w:szCs w:val="32"/>
          <w:highlight w:val="none"/>
        </w:rPr>
        <w:t>决算编报</w:t>
      </w:r>
      <w:r>
        <w:rPr>
          <w:rFonts w:hint="eastAsia" w:ascii="仿宋_GB2312" w:hAnsi="仿宋" w:eastAsia="仿宋_GB2312"/>
          <w:sz w:val="32"/>
          <w:szCs w:val="32"/>
          <w:highlight w:val="none"/>
          <w:lang w:eastAsia="zh-CN"/>
        </w:rPr>
        <w:t>和公开。</w:t>
      </w:r>
    </w:p>
    <w:p w14:paraId="31E3B27C">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（二）本单位</w:t>
      </w:r>
      <w:r>
        <w:rPr>
          <w:rFonts w:hint="eastAsia" w:ascii="仿宋_GB2312" w:hAnsi="仿宋" w:eastAsia="仿宋_GB2312"/>
          <w:sz w:val="32"/>
          <w:szCs w:val="32"/>
          <w:highlight w:val="none"/>
          <w:lang w:eastAsia="zh-CN"/>
        </w:rPr>
        <w:t>及时编制报送</w:t>
      </w:r>
      <w:r>
        <w:rPr>
          <w:rFonts w:hint="eastAsia" w:ascii="仿宋_GB2312" w:hAnsi="仿宋" w:eastAsia="仿宋_GB2312"/>
          <w:sz w:val="32"/>
          <w:szCs w:val="32"/>
          <w:highlight w:val="none"/>
        </w:rPr>
        <w:t>决算</w:t>
      </w:r>
      <w:r>
        <w:rPr>
          <w:rFonts w:hint="eastAsia" w:ascii="仿宋_GB2312" w:hAnsi="仿宋" w:eastAsia="仿宋_GB2312"/>
          <w:sz w:val="32"/>
          <w:szCs w:val="32"/>
          <w:highlight w:val="none"/>
          <w:lang w:eastAsia="zh-CN"/>
        </w:rPr>
        <w:t>报表，并进行</w:t>
      </w:r>
      <w:r>
        <w:rPr>
          <w:rFonts w:hint="eastAsia" w:ascii="仿宋_GB2312" w:hAnsi="仿宋" w:eastAsia="仿宋_GB2312"/>
          <w:sz w:val="32"/>
          <w:szCs w:val="32"/>
          <w:highlight w:val="none"/>
        </w:rPr>
        <w:t>绩效信息公开。</w:t>
      </w:r>
    </w:p>
    <w:p w14:paraId="658B8BFF">
      <w:pPr>
        <w:snapToGrid w:val="0"/>
        <w:spacing w:line="580" w:lineRule="exact"/>
        <w:ind w:firstLine="640" w:firstLineChars="200"/>
        <w:rPr>
          <w:rFonts w:ascii="楷体_GB2312" w:hAnsi="仿宋" w:eastAsia="楷体_GB2312"/>
          <w:b/>
          <w:sz w:val="32"/>
          <w:szCs w:val="32"/>
        </w:rPr>
      </w:pPr>
      <w:r>
        <w:rPr>
          <w:rFonts w:hint="eastAsia" w:ascii="仿宋_GB2312" w:hAnsi="仿宋" w:eastAsia="仿宋_GB2312"/>
          <w:sz w:val="32"/>
          <w:szCs w:val="32"/>
        </w:rPr>
        <w:t>（三）</w:t>
      </w:r>
      <w:r>
        <w:rPr>
          <w:rFonts w:hint="eastAsia" w:ascii="楷体_GB2312" w:hAnsi="仿宋" w:eastAsia="楷体_GB2312"/>
          <w:sz w:val="32"/>
          <w:szCs w:val="32"/>
        </w:rPr>
        <w:t>对部门决算管理工作的意见和建议。</w:t>
      </w:r>
    </w:p>
    <w:p w14:paraId="5977992C">
      <w:pPr>
        <w:ind w:firstLine="709"/>
        <w:rPr>
          <w:rFonts w:ascii="仿宋_GB2312" w:hAnsi="仿宋" w:eastAsia="仿宋_GB2312" w:cs="仿宋"/>
          <w:color w:val="000000"/>
          <w:sz w:val="32"/>
          <w:szCs w:val="32"/>
        </w:rPr>
      </w:pPr>
      <w:r>
        <w:rPr>
          <w:rFonts w:ascii="仿宋_GB2312" w:hAnsi="仿宋" w:eastAsia="仿宋_GB2312" w:cs="仿宋"/>
          <w:color w:val="000000"/>
          <w:sz w:val="32"/>
          <w:szCs w:val="32"/>
        </w:rPr>
        <w:t>1</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eastAsia="zh-CN"/>
        </w:rPr>
        <w:t>无</w:t>
      </w:r>
      <w:r>
        <w:rPr>
          <w:rFonts w:hint="eastAsia" w:ascii="仿宋_GB2312" w:hAnsi="仿宋" w:eastAsia="仿宋_GB2312" w:cs="仿宋"/>
          <w:color w:val="000000"/>
          <w:sz w:val="32"/>
          <w:szCs w:val="32"/>
        </w:rPr>
        <w:t>自行增加的审核公式和模板。</w:t>
      </w:r>
    </w:p>
    <w:p w14:paraId="5B16882A">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rPr>
        <w:t>2.对</w:t>
      </w:r>
      <w:r>
        <w:rPr>
          <w:rFonts w:ascii="仿宋_GB2312" w:hAnsi="仿宋" w:eastAsia="仿宋_GB2312" w:cs="仿宋"/>
          <w:color w:val="000000"/>
          <w:sz w:val="32"/>
          <w:szCs w:val="32"/>
        </w:rPr>
        <w:t>部门决算</w:t>
      </w:r>
      <w:r>
        <w:rPr>
          <w:rFonts w:hint="eastAsia" w:ascii="仿宋_GB2312" w:hAnsi="仿宋" w:eastAsia="仿宋_GB2312" w:cs="仿宋"/>
          <w:color w:val="000000"/>
          <w:sz w:val="32"/>
          <w:szCs w:val="32"/>
        </w:rPr>
        <w:t>报表修订</w:t>
      </w:r>
      <w:r>
        <w:rPr>
          <w:rFonts w:ascii="仿宋_GB2312" w:hAnsi="仿宋" w:eastAsia="仿宋_GB2312" w:cs="仿宋"/>
          <w:color w:val="000000"/>
          <w:sz w:val="32"/>
          <w:szCs w:val="32"/>
        </w:rPr>
        <w:t>设计</w:t>
      </w:r>
      <w:r>
        <w:rPr>
          <w:rFonts w:hint="eastAsia" w:ascii="仿宋_GB2312" w:hAnsi="仿宋" w:eastAsia="仿宋_GB2312" w:cs="仿宋"/>
          <w:color w:val="000000"/>
          <w:sz w:val="32"/>
          <w:szCs w:val="32"/>
        </w:rPr>
        <w:t>的</w:t>
      </w:r>
      <w:r>
        <w:rPr>
          <w:rFonts w:ascii="仿宋_GB2312" w:hAnsi="仿宋" w:eastAsia="仿宋_GB2312" w:cs="仿宋"/>
          <w:color w:val="000000"/>
          <w:sz w:val="32"/>
          <w:szCs w:val="32"/>
        </w:rPr>
        <w:t>意见和建议，</w:t>
      </w:r>
      <w:r>
        <w:rPr>
          <w:rFonts w:hint="eastAsia" w:ascii="仿宋_GB2312" w:hAnsi="仿宋" w:eastAsia="仿宋_GB2312" w:cs="仿宋"/>
          <w:color w:val="000000"/>
          <w:sz w:val="32"/>
          <w:szCs w:val="32"/>
          <w:lang w:eastAsia="zh-CN"/>
        </w:rPr>
        <w:t>增加单位可操作空间，无数据的表格可以进行删除和恢复（防止误删）。及时更新需财政部门填报的数据，让单位有更多的时间进行核对和调整。</w:t>
      </w:r>
    </w:p>
    <w:p w14:paraId="5F66B70F">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cs="仿宋"/>
          <w:color w:val="000000"/>
          <w:sz w:val="32"/>
          <w:szCs w:val="32"/>
        </w:rPr>
        <w:t>3.对部门决算其他管理</w:t>
      </w:r>
      <w:r>
        <w:rPr>
          <w:rFonts w:ascii="仿宋_GB2312" w:hAnsi="仿宋" w:eastAsia="仿宋_GB2312" w:cs="仿宋"/>
          <w:color w:val="000000"/>
          <w:sz w:val="32"/>
          <w:szCs w:val="32"/>
        </w:rPr>
        <w:t>工作</w:t>
      </w:r>
      <w:r>
        <w:rPr>
          <w:rFonts w:hint="eastAsia" w:ascii="仿宋_GB2312" w:hAnsi="仿宋" w:eastAsia="仿宋_GB2312" w:cs="仿宋"/>
          <w:color w:val="000000"/>
          <w:sz w:val="32"/>
          <w:szCs w:val="32"/>
        </w:rPr>
        <w:t>的建议</w:t>
      </w:r>
      <w:r>
        <w:rPr>
          <w:rFonts w:hint="eastAsia" w:ascii="仿宋_GB2312" w:hAnsi="仿宋" w:eastAsia="仿宋_GB2312" w:cs="仿宋"/>
          <w:color w:val="000000"/>
          <w:sz w:val="32"/>
          <w:szCs w:val="32"/>
          <w:lang w:eastAsia="zh-CN"/>
        </w:rPr>
        <w:t>，进行统一的决算填报流程或网络培训，延长填报的时间。</w:t>
      </w:r>
    </w:p>
    <w:p w14:paraId="0A778D2C">
      <w:pPr>
        <w:numPr>
          <w:ilvl w:val="0"/>
          <w:numId w:val="0"/>
        </w:numPr>
        <w:ind w:firstLine="640" w:firstLineChars="200"/>
        <w:rPr>
          <w:rFonts w:hint="eastAsia" w:ascii="仿宋_GB2312" w:hAnsi="仿宋" w:eastAsia="仿宋_GB2312"/>
          <w:sz w:val="32"/>
          <w:szCs w:val="32"/>
        </w:rPr>
      </w:pPr>
    </w:p>
    <w:p w14:paraId="6616D016">
      <w:pPr>
        <w:numPr>
          <w:ilvl w:val="0"/>
          <w:numId w:val="0"/>
        </w:numPr>
        <w:ind w:firstLine="640" w:firstLineChars="200"/>
        <w:rPr>
          <w:rFonts w:hint="eastAsia" w:ascii="仿宋_GB2312" w:hAnsi="仿宋" w:eastAsia="仿宋_GB2312"/>
          <w:sz w:val="32"/>
          <w:szCs w:val="32"/>
        </w:rPr>
      </w:pPr>
      <w:r>
        <w:rPr>
          <w:rFonts w:hint="eastAsia" w:ascii="仿宋_GB2312" w:hAnsi="仿宋" w:eastAsia="仿宋_GB2312"/>
          <w:sz w:val="32"/>
          <w:szCs w:val="32"/>
        </w:rPr>
        <w:t>注：收入支出预算执行情况分析可参考部门决算分析评价表（见软件查询模板）及行政事业单位财务分析指标（附后）。</w:t>
      </w:r>
    </w:p>
    <w:p w14:paraId="2DEFEF0E">
      <w:pPr>
        <w:rPr>
          <w:rFonts w:hint="eastAsia" w:ascii="仿宋_GB2312" w:hAnsi="仿宋" w:eastAsia="仿宋_GB2312"/>
          <w:sz w:val="32"/>
          <w:szCs w:val="32"/>
        </w:rPr>
      </w:pPr>
      <w:r>
        <w:rPr>
          <w:rFonts w:hint="eastAsia" w:ascii="仿宋_GB2312" w:hAnsi="仿宋" w:eastAsia="仿宋_GB2312"/>
          <w:sz w:val="32"/>
          <w:szCs w:val="32"/>
        </w:rPr>
        <w:br w:type="page"/>
      </w:r>
    </w:p>
    <w:p w14:paraId="5E850C31">
      <w:pPr>
        <w:snapToGrid w:val="0"/>
        <w:rPr>
          <w:rFonts w:hint="eastAsia" w:ascii="仿宋_GB2312" w:hAnsi="仿宋" w:eastAsia="仿宋_GB2312"/>
          <w:sz w:val="32"/>
          <w:szCs w:val="32"/>
        </w:rPr>
      </w:pPr>
      <w:r>
        <w:rPr>
          <w:rFonts w:hint="eastAsia" w:ascii="仿宋_GB2312" w:hAnsi="仿宋" w:eastAsia="仿宋_GB2312"/>
          <w:sz w:val="32"/>
          <w:szCs w:val="32"/>
        </w:rPr>
        <w:t>附：</w:t>
      </w:r>
    </w:p>
    <w:p w14:paraId="50D28EAA">
      <w:pPr>
        <w:snapToGrid w:val="0"/>
        <w:ind w:firstLine="640" w:firstLineChars="200"/>
        <w:jc w:val="center"/>
        <w:rPr>
          <w:rFonts w:hint="eastAsia" w:ascii="华文中宋" w:hAnsi="华文中宋" w:eastAsia="华文中宋"/>
          <w:sz w:val="32"/>
          <w:szCs w:val="32"/>
        </w:rPr>
      </w:pPr>
      <w:bookmarkStart w:id="2" w:name="YS060200"/>
    </w:p>
    <w:p w14:paraId="1254F3EF">
      <w:pPr>
        <w:snapToGrid w:val="0"/>
        <w:ind w:firstLine="640" w:firstLineChars="200"/>
        <w:jc w:val="center"/>
        <w:rPr>
          <w:rFonts w:hint="eastAsia" w:ascii="华文中宋" w:hAnsi="华文中宋" w:eastAsia="华文中宋"/>
          <w:sz w:val="32"/>
          <w:szCs w:val="32"/>
        </w:rPr>
      </w:pPr>
      <w:r>
        <w:rPr>
          <w:rFonts w:hint="eastAsia" w:ascii="华文中宋" w:hAnsi="华文中宋" w:eastAsia="华文中宋"/>
          <w:sz w:val="32"/>
          <w:szCs w:val="32"/>
        </w:rPr>
        <w:t>行政事业单位财务分析指标</w:t>
      </w:r>
    </w:p>
    <w:bookmarkEnd w:id="2"/>
    <w:p w14:paraId="47FFFC10">
      <w:pPr>
        <w:snapToGrid w:val="0"/>
        <w:ind w:firstLine="640" w:firstLineChars="200"/>
        <w:rPr>
          <w:rFonts w:hint="eastAsia" w:ascii="仿宋_GB2312" w:hAnsi="仿宋" w:eastAsia="仿宋_GB2312"/>
          <w:sz w:val="32"/>
          <w:szCs w:val="32"/>
        </w:rPr>
      </w:pPr>
    </w:p>
    <w:p w14:paraId="3DF6505C">
      <w:pPr>
        <w:snapToGrid w:val="0"/>
        <w:ind w:firstLine="640" w:firstLineChars="200"/>
        <w:rPr>
          <w:rFonts w:hint="eastAsia" w:ascii="黑体" w:hAnsi="黑体" w:eastAsia="黑体"/>
          <w:sz w:val="32"/>
          <w:szCs w:val="32"/>
        </w:rPr>
      </w:pPr>
      <w:bookmarkStart w:id="3" w:name="YS060201"/>
      <w:r>
        <w:rPr>
          <w:rFonts w:hint="eastAsia" w:ascii="黑体" w:hAnsi="黑体" w:eastAsia="黑体"/>
          <w:sz w:val="32"/>
          <w:szCs w:val="32"/>
        </w:rPr>
        <w:t>一、行政单位财务分析指标</w:t>
      </w:r>
    </w:p>
    <w:bookmarkEnd w:id="3"/>
    <w:p w14:paraId="4BFDC996">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1.支出增长率，衡量行政单位支出的增长水平。计算公式为：</w:t>
      </w:r>
    </w:p>
    <w:p w14:paraId="5A178857">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支出增长率＝(本期支出总额÷上期支出总额-1)×100%</w:t>
      </w:r>
    </w:p>
    <w:p w14:paraId="044978CF">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2.当年预算支出完成率，衡量行政单位当年支出总预算及分项预算完成的程度。计算公式为：</w:t>
      </w:r>
    </w:p>
    <w:p w14:paraId="38B7C0DD">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当年预算支出完成率＝年终执行数÷全年预算数×100%</w:t>
      </w:r>
    </w:p>
    <w:p w14:paraId="1A5F484C">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14:paraId="7FCF1D05">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3.人均开支，衡量行政单位人均年消耗经费水平。计算公式为：</w:t>
      </w:r>
    </w:p>
    <w:p w14:paraId="4C5E5980">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人均开支＝本期支出数÷本期平均在职人员数×100%</w:t>
      </w:r>
    </w:p>
    <w:p w14:paraId="6B192B69">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4.项目支出占总支出的比率，衡量行政单位的支出结构。计算公式为：</w:t>
      </w:r>
    </w:p>
    <w:p w14:paraId="2F244FA0">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项目支出比率=本期项目支出数÷本期支出总数×100%</w:t>
      </w:r>
    </w:p>
    <w:p w14:paraId="4DCC80B1">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5.人员支出、公用支出占总支出的比率，衡量行政单位的支出结构。计算公式为：</w:t>
      </w:r>
    </w:p>
    <w:p w14:paraId="2C1930D0">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人员支出比率=本期人员支出数÷本期支出总数×100%</w:t>
      </w:r>
    </w:p>
    <w:p w14:paraId="73D9EA9C">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公用支出比率=本期公用支出数÷本期支出总数×100%</w:t>
      </w:r>
    </w:p>
    <w:p w14:paraId="49420131">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6.人均办公使用面积，衡量行政单位办公用房配备情况。计算公式为：</w:t>
      </w:r>
    </w:p>
    <w:p w14:paraId="5AEEB1CF">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人均办公使用面积=本期末单位办公用房使用面积÷本期末在职人员数</w:t>
      </w:r>
    </w:p>
    <w:p w14:paraId="16CB425C">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7.人车比例，衡量行政单位公务用车配备情况。计算公式为：</w:t>
      </w:r>
    </w:p>
    <w:p w14:paraId="447C234D">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人车比例=本期末在职人员数÷本期末公务用车实有数</w:t>
      </w:r>
    </w:p>
    <w:p w14:paraId="16623348">
      <w:pPr>
        <w:snapToGrid w:val="0"/>
        <w:ind w:firstLine="640" w:firstLineChars="200"/>
        <w:rPr>
          <w:rFonts w:hint="eastAsia" w:ascii="仿宋_GB2312" w:hAnsi="仿宋" w:eastAsia="仿宋_GB2312"/>
          <w:sz w:val="32"/>
          <w:szCs w:val="32"/>
        </w:rPr>
      </w:pPr>
    </w:p>
    <w:p w14:paraId="5B019D24">
      <w:pPr>
        <w:snapToGrid w:val="0"/>
        <w:ind w:firstLine="640" w:firstLineChars="200"/>
        <w:rPr>
          <w:rFonts w:hint="eastAsia" w:ascii="黑体" w:hAnsi="黑体" w:eastAsia="黑体"/>
          <w:sz w:val="32"/>
          <w:szCs w:val="32"/>
        </w:rPr>
      </w:pPr>
      <w:bookmarkStart w:id="4" w:name="YS060202"/>
      <w:r>
        <w:rPr>
          <w:rFonts w:hint="eastAsia" w:ascii="黑体" w:hAnsi="黑体" w:eastAsia="黑体"/>
          <w:sz w:val="32"/>
          <w:szCs w:val="32"/>
        </w:rPr>
        <w:t>二、事业单位财务分析指标</w:t>
      </w:r>
    </w:p>
    <w:bookmarkEnd w:id="4"/>
    <w:p w14:paraId="5F091C0E">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1.预算收入和支出完成率，衡量事业单位收入和支出总预算及分项预算完成的程度。计算公式为：</w:t>
      </w:r>
    </w:p>
    <w:p w14:paraId="178272CF">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预算收入完成率＝年终执行数÷全年预算数×100%</w:t>
      </w:r>
    </w:p>
    <w:p w14:paraId="2A598A4C">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年终执行数不含上年结转和结余收入数</w:t>
      </w:r>
    </w:p>
    <w:p w14:paraId="1D157862">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预算支出完成率＝年终执行数÷全年预算数×100%</w:t>
      </w:r>
    </w:p>
    <w:p w14:paraId="13C02DF9">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14:paraId="73FE0FA8">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2.人员支出、公用支出占事业支出的比率，衡量事业单位事业支出结构。计算公式为：</w:t>
      </w:r>
    </w:p>
    <w:p w14:paraId="6EB6D325">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人员支出比率＝人员支出÷事业支出×100%</w:t>
      </w:r>
    </w:p>
    <w:p w14:paraId="70057968">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公用支出比率＝公用支出÷事业支出×100%</w:t>
      </w:r>
    </w:p>
    <w:p w14:paraId="01BD9D10">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3.人均基本支出，衡量事业单位按照实际在编人数平均的基本支出水平。计算公式为：</w:t>
      </w:r>
    </w:p>
    <w:p w14:paraId="29B4BFB8">
      <w:pPr>
        <w:snapToGrid w:val="0"/>
        <w:ind w:firstLine="640" w:firstLineChars="200"/>
        <w:rPr>
          <w:rFonts w:hint="eastAsia" w:ascii="仿宋_GB2312" w:hAnsi="仿宋" w:eastAsia="仿宋_GB2312"/>
          <w:b/>
          <w:sz w:val="32"/>
          <w:szCs w:val="32"/>
        </w:rPr>
      </w:pPr>
      <w:r>
        <w:rPr>
          <w:rFonts w:hint="eastAsia" w:ascii="仿宋_GB2312" w:hAnsi="仿宋" w:eastAsia="仿宋_GB2312"/>
          <w:sz w:val="32"/>
          <w:szCs w:val="32"/>
        </w:rPr>
        <w:t>人均基本支出＝（基本支出-离退休人员支出）÷实际在编人数</w:t>
      </w:r>
    </w:p>
    <w:p w14:paraId="67FA05D8">
      <w:pPr>
        <w:snapToGrid w:val="0"/>
        <w:ind w:firstLine="640" w:firstLineChars="200"/>
        <w:rPr>
          <w:rFonts w:hint="eastAsia" w:ascii="仿宋_GB2312" w:hAnsi="仿宋" w:eastAsia="仿宋_GB2312"/>
          <w:sz w:val="32"/>
          <w:szCs w:val="32"/>
        </w:rPr>
      </w:pPr>
    </w:p>
    <w:p w14:paraId="7D4A0B40">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此外，行业事业单位还可根据相关财务制度规定和分析需要增加相关分析指标，如：</w:t>
      </w:r>
    </w:p>
    <w:p w14:paraId="073BD850">
      <w:pPr>
        <w:ind w:firstLine="707" w:firstLineChars="221"/>
        <w:rPr>
          <w:rFonts w:hint="eastAsia" w:ascii="仿宋_GB2312" w:hAnsi="仿宋" w:eastAsia="仿宋_GB2312"/>
          <w:sz w:val="32"/>
          <w:szCs w:val="32"/>
        </w:rPr>
      </w:pPr>
      <w:r>
        <w:rPr>
          <w:rFonts w:hint="eastAsia" w:ascii="仿宋_GB2312" w:hAnsi="仿宋" w:eastAsia="仿宋_GB2312"/>
          <w:sz w:val="32"/>
          <w:szCs w:val="32"/>
        </w:rPr>
        <w:t>1.财政拨款依存度, 衡量部门（单位）对财政拨款的依赖程度。</w:t>
      </w:r>
    </w:p>
    <w:p w14:paraId="50087EC7">
      <w:pPr>
        <w:widowControl/>
        <w:ind w:firstLine="640" w:firstLineChars="200"/>
        <w:textAlignment w:val="center"/>
        <w:rPr>
          <w:rFonts w:hint="eastAsia" w:ascii="仿宋_GB2312" w:hAnsi="仿宋" w:eastAsia="仿宋_GB2312"/>
          <w:sz w:val="32"/>
          <w:szCs w:val="32"/>
        </w:rPr>
      </w:pPr>
      <w:r>
        <w:rPr>
          <w:rFonts w:hint="eastAsia" w:ascii="仿宋_GB2312" w:hAnsi="仿宋" w:eastAsia="仿宋_GB2312"/>
          <w:sz w:val="32"/>
          <w:szCs w:val="32"/>
        </w:rPr>
        <w:t>财政拨款依存度＝财政拨款收入÷收入总额×100%</w:t>
      </w:r>
    </w:p>
    <w:p w14:paraId="174E29EC">
      <w:pPr>
        <w:numPr>
          <w:ilvl w:val="0"/>
          <w:numId w:val="0"/>
        </w:numPr>
        <w:ind w:firstLine="640" w:firstLineChars="200"/>
        <w:rPr>
          <w:rFonts w:hint="default" w:ascii="仿宋_GB2312" w:hAnsi="仿宋"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83F7A"/>
    <w:multiLevelType w:val="singleLevel"/>
    <w:tmpl w:val="DA283F7A"/>
    <w:lvl w:ilvl="0" w:tentative="0">
      <w:start w:val="2"/>
      <w:numFmt w:val="chineseCounting"/>
      <w:suff w:val="nothing"/>
      <w:lvlText w:val="（%1）"/>
      <w:lvlJc w:val="left"/>
      <w:rPr>
        <w:rFonts w:hint="eastAsia"/>
      </w:rPr>
    </w:lvl>
  </w:abstractNum>
  <w:abstractNum w:abstractNumId="1">
    <w:nsid w:val="E1E406F6"/>
    <w:multiLevelType w:val="singleLevel"/>
    <w:tmpl w:val="E1E406F6"/>
    <w:lvl w:ilvl="0" w:tentative="0">
      <w:start w:val="2"/>
      <w:numFmt w:val="decimal"/>
      <w:suff w:val="nothing"/>
      <w:lvlText w:val="%1．"/>
      <w:lvlJc w:val="left"/>
    </w:lvl>
  </w:abstractNum>
  <w:abstractNum w:abstractNumId="2">
    <w:nsid w:val="FC7B0B73"/>
    <w:multiLevelType w:val="singleLevel"/>
    <w:tmpl w:val="FC7B0B73"/>
    <w:lvl w:ilvl="0" w:tentative="0">
      <w:start w:val="2"/>
      <w:numFmt w:val="decimal"/>
      <w:suff w:val="nothing"/>
      <w:lvlText w:val="（%1）"/>
      <w:lvlJc w:val="left"/>
    </w:lvl>
  </w:abstractNum>
  <w:abstractNum w:abstractNumId="3">
    <w:nsid w:val="1C665C12"/>
    <w:multiLevelType w:val="singleLevel"/>
    <w:tmpl w:val="1C665C12"/>
    <w:lvl w:ilvl="0" w:tentative="0">
      <w:start w:val="1"/>
      <w:numFmt w:val="decimal"/>
      <w:suff w:val="nothing"/>
      <w:lvlText w:val="%1、"/>
      <w:lvlJc w:val="left"/>
    </w:lvl>
  </w:abstractNum>
  <w:abstractNum w:abstractNumId="4">
    <w:nsid w:val="3D024A3B"/>
    <w:multiLevelType w:val="singleLevel"/>
    <w:tmpl w:val="3D024A3B"/>
    <w:lvl w:ilvl="0" w:tentative="0">
      <w:start w:val="2"/>
      <w:numFmt w:val="decimal"/>
      <w:suff w:val="nothing"/>
      <w:lvlText w:val="（%1）"/>
      <w:lvlJc w:val="left"/>
    </w:lvl>
  </w:abstractNum>
  <w:abstractNum w:abstractNumId="5">
    <w:nsid w:val="67C21E65"/>
    <w:multiLevelType w:val="singleLevel"/>
    <w:tmpl w:val="67C21E65"/>
    <w:lvl w:ilvl="0" w:tentative="0">
      <w:start w:val="3"/>
      <w:numFmt w:val="decimal"/>
      <w:suff w:val="nothing"/>
      <w:lvlText w:val="%1、"/>
      <w:lvlJc w:val="left"/>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YTNkYWI0NDMyMjNjYTk5NzdkZWVhMjBlNGMzYWQifQ=="/>
  </w:docVars>
  <w:rsids>
    <w:rsidRoot w:val="00172A27"/>
    <w:rsid w:val="00136D33"/>
    <w:rsid w:val="00150EAD"/>
    <w:rsid w:val="0026685C"/>
    <w:rsid w:val="005F59FE"/>
    <w:rsid w:val="00B175E9"/>
    <w:rsid w:val="00BF706B"/>
    <w:rsid w:val="00CC3245"/>
    <w:rsid w:val="01074BB7"/>
    <w:rsid w:val="014C6B51"/>
    <w:rsid w:val="01B45EC4"/>
    <w:rsid w:val="022E61C2"/>
    <w:rsid w:val="026A1647"/>
    <w:rsid w:val="02996215"/>
    <w:rsid w:val="02F27FB9"/>
    <w:rsid w:val="031A5719"/>
    <w:rsid w:val="03764359"/>
    <w:rsid w:val="03A13D50"/>
    <w:rsid w:val="04921E11"/>
    <w:rsid w:val="04A40A52"/>
    <w:rsid w:val="0548762F"/>
    <w:rsid w:val="055F2BCB"/>
    <w:rsid w:val="057448C8"/>
    <w:rsid w:val="064C7016"/>
    <w:rsid w:val="0653752D"/>
    <w:rsid w:val="06CF7A92"/>
    <w:rsid w:val="075C75B8"/>
    <w:rsid w:val="07C32644"/>
    <w:rsid w:val="08391DD9"/>
    <w:rsid w:val="0860600D"/>
    <w:rsid w:val="09C63446"/>
    <w:rsid w:val="0A8235E3"/>
    <w:rsid w:val="0AAC240E"/>
    <w:rsid w:val="0BD67189"/>
    <w:rsid w:val="0C0C21B7"/>
    <w:rsid w:val="0C3512B2"/>
    <w:rsid w:val="0D192C64"/>
    <w:rsid w:val="0D853C8D"/>
    <w:rsid w:val="0DBF06AB"/>
    <w:rsid w:val="0E6077D0"/>
    <w:rsid w:val="0EA44D6C"/>
    <w:rsid w:val="0EA63FB9"/>
    <w:rsid w:val="0F072309"/>
    <w:rsid w:val="0F156355"/>
    <w:rsid w:val="0F277149"/>
    <w:rsid w:val="0F4F5A5E"/>
    <w:rsid w:val="10CA7D05"/>
    <w:rsid w:val="11502A5D"/>
    <w:rsid w:val="116E041E"/>
    <w:rsid w:val="11733F8E"/>
    <w:rsid w:val="11A04F42"/>
    <w:rsid w:val="11F8740F"/>
    <w:rsid w:val="12270675"/>
    <w:rsid w:val="128E3CFB"/>
    <w:rsid w:val="12CA18A4"/>
    <w:rsid w:val="12CE6DE6"/>
    <w:rsid w:val="13232472"/>
    <w:rsid w:val="133E63BF"/>
    <w:rsid w:val="13C50F53"/>
    <w:rsid w:val="14704634"/>
    <w:rsid w:val="147D6BCA"/>
    <w:rsid w:val="14BE5947"/>
    <w:rsid w:val="15465DC7"/>
    <w:rsid w:val="15481111"/>
    <w:rsid w:val="15785D0F"/>
    <w:rsid w:val="160161FA"/>
    <w:rsid w:val="162C26A8"/>
    <w:rsid w:val="16B65F5A"/>
    <w:rsid w:val="174C79B6"/>
    <w:rsid w:val="179E48A3"/>
    <w:rsid w:val="17B80644"/>
    <w:rsid w:val="17C52AFB"/>
    <w:rsid w:val="18953CCD"/>
    <w:rsid w:val="18A256A4"/>
    <w:rsid w:val="18D9791A"/>
    <w:rsid w:val="195B397D"/>
    <w:rsid w:val="198B4457"/>
    <w:rsid w:val="198C1D89"/>
    <w:rsid w:val="19E74BB9"/>
    <w:rsid w:val="19FA7950"/>
    <w:rsid w:val="1A1459A8"/>
    <w:rsid w:val="1A2C0E1B"/>
    <w:rsid w:val="1A3664FF"/>
    <w:rsid w:val="1AE814A8"/>
    <w:rsid w:val="1B19247D"/>
    <w:rsid w:val="1BAE5C54"/>
    <w:rsid w:val="1BCF41AF"/>
    <w:rsid w:val="1BFB0F3C"/>
    <w:rsid w:val="1C093E03"/>
    <w:rsid w:val="1C35495A"/>
    <w:rsid w:val="1C4D3667"/>
    <w:rsid w:val="1CE04199"/>
    <w:rsid w:val="1D320E8A"/>
    <w:rsid w:val="1D37200B"/>
    <w:rsid w:val="1DB3762A"/>
    <w:rsid w:val="1DBD382A"/>
    <w:rsid w:val="1DE75755"/>
    <w:rsid w:val="1DEB4525"/>
    <w:rsid w:val="1E783B76"/>
    <w:rsid w:val="1EBF4F16"/>
    <w:rsid w:val="1ECF0A05"/>
    <w:rsid w:val="1F0777AE"/>
    <w:rsid w:val="1FF61523"/>
    <w:rsid w:val="21780E44"/>
    <w:rsid w:val="219043E0"/>
    <w:rsid w:val="219537C5"/>
    <w:rsid w:val="21ED3F31"/>
    <w:rsid w:val="221F0F05"/>
    <w:rsid w:val="223C52C2"/>
    <w:rsid w:val="229E2DF9"/>
    <w:rsid w:val="2308455E"/>
    <w:rsid w:val="23283B3B"/>
    <w:rsid w:val="23B24AE2"/>
    <w:rsid w:val="24082954"/>
    <w:rsid w:val="24276EB2"/>
    <w:rsid w:val="248C70E1"/>
    <w:rsid w:val="248D2ECF"/>
    <w:rsid w:val="254623A4"/>
    <w:rsid w:val="256B20CD"/>
    <w:rsid w:val="260770CA"/>
    <w:rsid w:val="26091816"/>
    <w:rsid w:val="2670344A"/>
    <w:rsid w:val="26FA353F"/>
    <w:rsid w:val="2727277C"/>
    <w:rsid w:val="27C933D0"/>
    <w:rsid w:val="282233C0"/>
    <w:rsid w:val="28410AC6"/>
    <w:rsid w:val="291529E3"/>
    <w:rsid w:val="295F6AE4"/>
    <w:rsid w:val="29E7224E"/>
    <w:rsid w:val="29E835CB"/>
    <w:rsid w:val="29EA0212"/>
    <w:rsid w:val="2A5778E1"/>
    <w:rsid w:val="2A6B5DF2"/>
    <w:rsid w:val="2ACD4D73"/>
    <w:rsid w:val="2B326004"/>
    <w:rsid w:val="2B701FD3"/>
    <w:rsid w:val="2BBD04C8"/>
    <w:rsid w:val="2C674F60"/>
    <w:rsid w:val="2C6A3498"/>
    <w:rsid w:val="2DD80833"/>
    <w:rsid w:val="2DFA197E"/>
    <w:rsid w:val="2E6A54E9"/>
    <w:rsid w:val="2F041F69"/>
    <w:rsid w:val="2F285C58"/>
    <w:rsid w:val="2F5729E1"/>
    <w:rsid w:val="2F9939E1"/>
    <w:rsid w:val="2FFD0E93"/>
    <w:rsid w:val="3013292D"/>
    <w:rsid w:val="309D08C8"/>
    <w:rsid w:val="30AF7FEE"/>
    <w:rsid w:val="30DD443A"/>
    <w:rsid w:val="310E5FC1"/>
    <w:rsid w:val="3166515D"/>
    <w:rsid w:val="323112C7"/>
    <w:rsid w:val="32444BEE"/>
    <w:rsid w:val="32B51D63"/>
    <w:rsid w:val="32C75A0F"/>
    <w:rsid w:val="32C80E17"/>
    <w:rsid w:val="32CD6857"/>
    <w:rsid w:val="33AD318F"/>
    <w:rsid w:val="345033AD"/>
    <w:rsid w:val="34EA4EFB"/>
    <w:rsid w:val="34FE36A0"/>
    <w:rsid w:val="35F965A0"/>
    <w:rsid w:val="36286FF1"/>
    <w:rsid w:val="36657792"/>
    <w:rsid w:val="378A6679"/>
    <w:rsid w:val="37BC5AD7"/>
    <w:rsid w:val="37C134DB"/>
    <w:rsid w:val="37C1407A"/>
    <w:rsid w:val="38A10A8B"/>
    <w:rsid w:val="39684404"/>
    <w:rsid w:val="39C173D5"/>
    <w:rsid w:val="39C600D4"/>
    <w:rsid w:val="39EB26A4"/>
    <w:rsid w:val="3A3F6B21"/>
    <w:rsid w:val="3A6A7A6C"/>
    <w:rsid w:val="3A9A3BD3"/>
    <w:rsid w:val="3B577F0B"/>
    <w:rsid w:val="3BD11425"/>
    <w:rsid w:val="3BD167A4"/>
    <w:rsid w:val="3C10702B"/>
    <w:rsid w:val="3C335C3C"/>
    <w:rsid w:val="3C464E6F"/>
    <w:rsid w:val="3CAC58DD"/>
    <w:rsid w:val="3D192362"/>
    <w:rsid w:val="3D667416"/>
    <w:rsid w:val="3D7E738B"/>
    <w:rsid w:val="3DBE49FA"/>
    <w:rsid w:val="3DF371D0"/>
    <w:rsid w:val="3E595D18"/>
    <w:rsid w:val="3ECF4342"/>
    <w:rsid w:val="3F473ED8"/>
    <w:rsid w:val="3F8844F1"/>
    <w:rsid w:val="3F90296F"/>
    <w:rsid w:val="3FF86C89"/>
    <w:rsid w:val="402657AC"/>
    <w:rsid w:val="407F52E0"/>
    <w:rsid w:val="40FC0CF2"/>
    <w:rsid w:val="426A4E1F"/>
    <w:rsid w:val="431D7496"/>
    <w:rsid w:val="434E56F3"/>
    <w:rsid w:val="4355436D"/>
    <w:rsid w:val="436112E1"/>
    <w:rsid w:val="43A60B9D"/>
    <w:rsid w:val="43C53F65"/>
    <w:rsid w:val="441427F7"/>
    <w:rsid w:val="4487121B"/>
    <w:rsid w:val="4565582E"/>
    <w:rsid w:val="456F4189"/>
    <w:rsid w:val="457572C5"/>
    <w:rsid w:val="45B002FD"/>
    <w:rsid w:val="45D032BE"/>
    <w:rsid w:val="45D1463A"/>
    <w:rsid w:val="45E03B5E"/>
    <w:rsid w:val="460E5F11"/>
    <w:rsid w:val="464B69A4"/>
    <w:rsid w:val="46712183"/>
    <w:rsid w:val="467354C8"/>
    <w:rsid w:val="46845A12"/>
    <w:rsid w:val="46DF5159"/>
    <w:rsid w:val="4705455B"/>
    <w:rsid w:val="471A6376"/>
    <w:rsid w:val="477B5067"/>
    <w:rsid w:val="48FE3445"/>
    <w:rsid w:val="491C507B"/>
    <w:rsid w:val="49641B2B"/>
    <w:rsid w:val="49A168DB"/>
    <w:rsid w:val="49CA0DC2"/>
    <w:rsid w:val="4A0A65D2"/>
    <w:rsid w:val="4A8D54DB"/>
    <w:rsid w:val="4AC97E97"/>
    <w:rsid w:val="4AEA5014"/>
    <w:rsid w:val="4BF3029F"/>
    <w:rsid w:val="4C0F4D8B"/>
    <w:rsid w:val="4C3C28EB"/>
    <w:rsid w:val="4C4F6AC2"/>
    <w:rsid w:val="4CA2287B"/>
    <w:rsid w:val="4CD4551D"/>
    <w:rsid w:val="4D300A3D"/>
    <w:rsid w:val="4E235B10"/>
    <w:rsid w:val="4E6F4101"/>
    <w:rsid w:val="4E8F1192"/>
    <w:rsid w:val="4FF260EE"/>
    <w:rsid w:val="50954A6A"/>
    <w:rsid w:val="525C0976"/>
    <w:rsid w:val="527E074E"/>
    <w:rsid w:val="52C6550E"/>
    <w:rsid w:val="53A54884"/>
    <w:rsid w:val="54A0435F"/>
    <w:rsid w:val="54E56216"/>
    <w:rsid w:val="54F94081"/>
    <w:rsid w:val="557B0928"/>
    <w:rsid w:val="55874777"/>
    <w:rsid w:val="55CE485E"/>
    <w:rsid w:val="55D55E82"/>
    <w:rsid w:val="562C1C22"/>
    <w:rsid w:val="56DF14D7"/>
    <w:rsid w:val="571F7091"/>
    <w:rsid w:val="575E6A88"/>
    <w:rsid w:val="58555460"/>
    <w:rsid w:val="58860C9B"/>
    <w:rsid w:val="58AE691E"/>
    <w:rsid w:val="593A51BD"/>
    <w:rsid w:val="595450BA"/>
    <w:rsid w:val="59816748"/>
    <w:rsid w:val="59843637"/>
    <w:rsid w:val="5A7549F4"/>
    <w:rsid w:val="5AB43B91"/>
    <w:rsid w:val="5ADA39FB"/>
    <w:rsid w:val="5B024938"/>
    <w:rsid w:val="5BC25DD9"/>
    <w:rsid w:val="5BDF7159"/>
    <w:rsid w:val="5C3830CF"/>
    <w:rsid w:val="5C3915C6"/>
    <w:rsid w:val="5C566D9D"/>
    <w:rsid w:val="5D2B4EC5"/>
    <w:rsid w:val="5DBC1ADE"/>
    <w:rsid w:val="5DD72473"/>
    <w:rsid w:val="5E4E6BDA"/>
    <w:rsid w:val="5E4F2B7D"/>
    <w:rsid w:val="5E5F2278"/>
    <w:rsid w:val="5EBA425E"/>
    <w:rsid w:val="5F1514A5"/>
    <w:rsid w:val="5FB21A3E"/>
    <w:rsid w:val="5FBB029F"/>
    <w:rsid w:val="5FD51DE8"/>
    <w:rsid w:val="5FDE5CFC"/>
    <w:rsid w:val="608A66C7"/>
    <w:rsid w:val="60E129F8"/>
    <w:rsid w:val="613D1187"/>
    <w:rsid w:val="61412C54"/>
    <w:rsid w:val="615B0273"/>
    <w:rsid w:val="61790F08"/>
    <w:rsid w:val="61F53810"/>
    <w:rsid w:val="62610D92"/>
    <w:rsid w:val="62787202"/>
    <w:rsid w:val="62AF4458"/>
    <w:rsid w:val="62CF344C"/>
    <w:rsid w:val="63690012"/>
    <w:rsid w:val="636B5105"/>
    <w:rsid w:val="639B21FC"/>
    <w:rsid w:val="64C002CD"/>
    <w:rsid w:val="657E36D4"/>
    <w:rsid w:val="65D9200F"/>
    <w:rsid w:val="65FC516D"/>
    <w:rsid w:val="667A54D2"/>
    <w:rsid w:val="67064295"/>
    <w:rsid w:val="67381478"/>
    <w:rsid w:val="67BE0EC8"/>
    <w:rsid w:val="68392D4D"/>
    <w:rsid w:val="683F2971"/>
    <w:rsid w:val="688558EE"/>
    <w:rsid w:val="68AE4433"/>
    <w:rsid w:val="69101FC1"/>
    <w:rsid w:val="699A1D68"/>
    <w:rsid w:val="6A10026E"/>
    <w:rsid w:val="6A941A4E"/>
    <w:rsid w:val="6ACD532A"/>
    <w:rsid w:val="6B1E03CA"/>
    <w:rsid w:val="6B5B6434"/>
    <w:rsid w:val="6B606252"/>
    <w:rsid w:val="6B826114"/>
    <w:rsid w:val="6BB43405"/>
    <w:rsid w:val="6BCF64F3"/>
    <w:rsid w:val="6BF1329A"/>
    <w:rsid w:val="6CC45CF8"/>
    <w:rsid w:val="6CDD0508"/>
    <w:rsid w:val="6D8E1DE6"/>
    <w:rsid w:val="6DC5334B"/>
    <w:rsid w:val="6E483229"/>
    <w:rsid w:val="6E791A26"/>
    <w:rsid w:val="6E825BB4"/>
    <w:rsid w:val="6E8757F0"/>
    <w:rsid w:val="6E9D5013"/>
    <w:rsid w:val="6EDC453B"/>
    <w:rsid w:val="6F5F0B87"/>
    <w:rsid w:val="701D1F8B"/>
    <w:rsid w:val="705B71A1"/>
    <w:rsid w:val="70AB487B"/>
    <w:rsid w:val="7104661F"/>
    <w:rsid w:val="722021E3"/>
    <w:rsid w:val="72457E9C"/>
    <w:rsid w:val="72616DCA"/>
    <w:rsid w:val="72874010"/>
    <w:rsid w:val="729055BB"/>
    <w:rsid w:val="72A85210"/>
    <w:rsid w:val="72E96A79"/>
    <w:rsid w:val="730E21E9"/>
    <w:rsid w:val="7329735A"/>
    <w:rsid w:val="734A25E8"/>
    <w:rsid w:val="73727D47"/>
    <w:rsid w:val="74392BD3"/>
    <w:rsid w:val="7499627D"/>
    <w:rsid w:val="74DB7B46"/>
    <w:rsid w:val="75532184"/>
    <w:rsid w:val="75A60C99"/>
    <w:rsid w:val="75A75FE1"/>
    <w:rsid w:val="75ED6880"/>
    <w:rsid w:val="760E0804"/>
    <w:rsid w:val="76102E04"/>
    <w:rsid w:val="76373F9F"/>
    <w:rsid w:val="77DD6EF2"/>
    <w:rsid w:val="782331D6"/>
    <w:rsid w:val="78680440"/>
    <w:rsid w:val="79450781"/>
    <w:rsid w:val="79BD1E6F"/>
    <w:rsid w:val="7A1F0C47"/>
    <w:rsid w:val="7A2B21F4"/>
    <w:rsid w:val="7A444A03"/>
    <w:rsid w:val="7A4647B1"/>
    <w:rsid w:val="7A6E38A0"/>
    <w:rsid w:val="7BE6659D"/>
    <w:rsid w:val="7BF77613"/>
    <w:rsid w:val="7BFF27A7"/>
    <w:rsid w:val="7C067F4F"/>
    <w:rsid w:val="7C1B7C6D"/>
    <w:rsid w:val="7C34248C"/>
    <w:rsid w:val="7C3C7A60"/>
    <w:rsid w:val="7C794503"/>
    <w:rsid w:val="7CC43203"/>
    <w:rsid w:val="7CE73E14"/>
    <w:rsid w:val="7E7F1AD5"/>
    <w:rsid w:val="7E97572C"/>
    <w:rsid w:val="7ED9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仿宋"/>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Plain Text"/>
    <w:basedOn w:val="1"/>
    <w:qFormat/>
    <w:uiPriority w:val="0"/>
    <w:rPr>
      <w:rFonts w:ascii="宋体" w:hAnsi="Courier New" w:eastAsia="宋体"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qFormat/>
    <w:uiPriority w:val="99"/>
    <w:pPr>
      <w:ind w:firstLine="420" w:firstLineChars="200"/>
    </w:pPr>
  </w:style>
  <w:style w:type="paragraph" w:customStyle="1" w:styleId="12">
    <w:name w:val="BodyText"/>
    <w:basedOn w:val="13"/>
    <w:qFormat/>
    <w:uiPriority w:val="0"/>
    <w:pPr>
      <w:spacing w:after="120"/>
      <w:textAlignment w:val="baseline"/>
    </w:pPr>
  </w:style>
  <w:style w:type="paragraph" w:customStyle="1" w:styleId="13">
    <w:name w:val="正文 New"/>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公1"/>
    <w:basedOn w:val="15"/>
    <w:next w:val="1"/>
    <w:qFormat/>
    <w:uiPriority w:val="0"/>
    <w:pPr>
      <w:ind w:firstLine="200" w:firstLine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8.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年初预算支出安排增减变动表</a:t>
            </a:r>
          </a:p>
        </c:rich>
      </c:tx>
      <c:layout/>
      <c:overlay val="0"/>
      <c:spPr>
        <a:noFill/>
        <a:ln>
          <a:noFill/>
        </a:ln>
        <a:effectLst/>
      </c:spPr>
    </c:title>
    <c:autoTitleDeleted val="0"/>
    <c:plotArea>
      <c:layout/>
      <c:lineChart>
        <c:grouping val="standard"/>
        <c:varyColors val="0"/>
        <c:ser>
          <c:idx val="0"/>
          <c:order val="0"/>
          <c:tx>
            <c:strRef>
              <c:f>Sheet1!$B$1</c:f>
              <c:strCache>
                <c:ptCount val="1"/>
                <c:pt idx="0">
                  <c:v>金额</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2025年年初预算支出</c:v>
                </c:pt>
                <c:pt idx="1">
                  <c:v>2024年年初预算支出</c:v>
                </c:pt>
              </c:strCache>
            </c:strRef>
          </c:cat>
          <c:val>
            <c:numRef>
              <c:f>Sheet1!$B$2:$B$3</c:f>
              <c:numCache>
                <c:formatCode>General</c:formatCode>
                <c:ptCount val="2"/>
                <c:pt idx="0">
                  <c:v>1243.9</c:v>
                </c:pt>
                <c:pt idx="1">
                  <c:v>1495.91</c:v>
                </c:pt>
              </c:numCache>
            </c:numRef>
          </c:val>
          <c:smooth val="0"/>
        </c:ser>
        <c:dLbls>
          <c:showLegendKey val="0"/>
          <c:showVal val="1"/>
          <c:showCatName val="0"/>
          <c:showSerName val="0"/>
          <c:showPercent val="0"/>
          <c:showBubbleSize val="0"/>
        </c:dLbls>
        <c:marker val="0"/>
        <c:smooth val="0"/>
        <c:axId val="25609977"/>
        <c:axId val="843076255"/>
      </c:lineChart>
      <c:catAx>
        <c:axId val="256099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3076255"/>
        <c:crosses val="autoZero"/>
        <c:auto val="1"/>
        <c:lblAlgn val="ctr"/>
        <c:lblOffset val="100"/>
        <c:noMultiLvlLbl val="0"/>
      </c:catAx>
      <c:valAx>
        <c:axId val="843076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0997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c016cd-efae-4c2a-985d-48ab2399bd6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年初预算收入安排增减变动表</a:t>
            </a:r>
          </a:p>
        </c:rich>
      </c:tx>
      <c:layout/>
      <c:overlay val="0"/>
      <c:spPr>
        <a:noFill/>
        <a:ln>
          <a:noFill/>
        </a:ln>
        <a:effectLst/>
      </c:spPr>
    </c:title>
    <c:autoTitleDeleted val="0"/>
    <c:plotArea>
      <c:layout>
        <c:manualLayout>
          <c:layoutTarget val="inner"/>
          <c:xMode val="edge"/>
          <c:yMode val="edge"/>
          <c:x val="0.135575"/>
          <c:y val="0.1245"/>
          <c:w val="0.836925"/>
          <c:h val="0.716566666666667"/>
        </c:manualLayout>
      </c:layout>
      <c:lineChart>
        <c:grouping val="standard"/>
        <c:varyColors val="0"/>
        <c:ser>
          <c:idx val="0"/>
          <c:order val="0"/>
          <c:tx>
            <c:strRef>
              <c:f>Sheet1!$B$1</c:f>
              <c:strCache>
                <c:ptCount val="1"/>
                <c:pt idx="0">
                  <c:v>金额</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2025年年初预算收入</c:v>
                </c:pt>
                <c:pt idx="1">
                  <c:v>2024年年初预算收入</c:v>
                </c:pt>
              </c:strCache>
            </c:strRef>
          </c:cat>
          <c:val>
            <c:numRef>
              <c:f>Sheet1!$B$2:$B$3</c:f>
              <c:numCache>
                <c:formatCode>General</c:formatCode>
                <c:ptCount val="2"/>
                <c:pt idx="0">
                  <c:v>1243.9</c:v>
                </c:pt>
                <c:pt idx="1">
                  <c:v>1495.91</c:v>
                </c:pt>
              </c:numCache>
            </c:numRef>
          </c:val>
          <c:smooth val="0"/>
        </c:ser>
        <c:dLbls>
          <c:showLegendKey val="0"/>
          <c:showVal val="1"/>
          <c:showCatName val="0"/>
          <c:showSerName val="0"/>
          <c:showPercent val="0"/>
          <c:showBubbleSize val="0"/>
        </c:dLbls>
        <c:marker val="0"/>
        <c:smooth val="0"/>
        <c:axId val="986333181"/>
        <c:axId val="41367217"/>
      </c:lineChart>
      <c:catAx>
        <c:axId val="9863331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67217"/>
        <c:crosses val="autoZero"/>
        <c:auto val="1"/>
        <c:lblAlgn val="ctr"/>
        <c:lblOffset val="100"/>
        <c:noMultiLvlLbl val="0"/>
      </c:catAx>
      <c:valAx>
        <c:axId val="4136721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3331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3dba218-5359-4a6a-b920-89988431b62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2025</a:t>
            </a:r>
            <a:r>
              <a:rPr altLang="en-US"/>
              <a:t>年</a:t>
            </a:r>
            <a:r>
              <a:t>收入增减变动表</a:t>
            </a:r>
          </a:p>
        </c:rich>
      </c:tx>
      <c:layout/>
      <c:overlay val="0"/>
      <c:spPr>
        <a:noFill/>
        <a:ln>
          <a:noFill/>
        </a:ln>
        <a:effectLst/>
      </c:spPr>
    </c:title>
    <c:autoTitleDeleted val="0"/>
    <c:plotArea>
      <c:layout>
        <c:manualLayout>
          <c:layoutTarget val="inner"/>
          <c:xMode val="edge"/>
          <c:yMode val="edge"/>
          <c:x val="0.135575"/>
          <c:y val="0.1245"/>
          <c:w val="0.836925"/>
          <c:h val="0.716566666666667"/>
        </c:manualLayout>
      </c:layout>
      <c:lineChart>
        <c:grouping val="standard"/>
        <c:varyColors val="0"/>
        <c:ser>
          <c:idx val="0"/>
          <c:order val="0"/>
          <c:tx>
            <c:strRef>
              <c:f>Sheet1!$B$1</c:f>
              <c:strCache>
                <c:ptCount val="1"/>
                <c:pt idx="0">
                  <c:v>金额</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2025年收入</c:v>
                </c:pt>
                <c:pt idx="1">
                  <c:v>2024年收入</c:v>
                </c:pt>
              </c:strCache>
            </c:strRef>
          </c:cat>
          <c:val>
            <c:numRef>
              <c:f>Sheet1!$B$2:$B$3</c:f>
              <c:numCache>
                <c:formatCode>General</c:formatCode>
                <c:ptCount val="2"/>
                <c:pt idx="0">
                  <c:v>1497.64</c:v>
                </c:pt>
                <c:pt idx="1">
                  <c:v>1312.42</c:v>
                </c:pt>
              </c:numCache>
            </c:numRef>
          </c:val>
          <c:smooth val="0"/>
        </c:ser>
        <c:dLbls>
          <c:showLegendKey val="0"/>
          <c:showVal val="1"/>
          <c:showCatName val="0"/>
          <c:showSerName val="0"/>
          <c:showPercent val="0"/>
          <c:showBubbleSize val="0"/>
        </c:dLbls>
        <c:marker val="0"/>
        <c:smooth val="0"/>
        <c:axId val="986333181"/>
        <c:axId val="41367217"/>
      </c:lineChart>
      <c:catAx>
        <c:axId val="9863331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67217"/>
        <c:crosses val="autoZero"/>
        <c:auto val="1"/>
        <c:lblAlgn val="ctr"/>
        <c:lblOffset val="100"/>
        <c:noMultiLvlLbl val="0"/>
      </c:catAx>
      <c:valAx>
        <c:axId val="4136721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3331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dca9bf9-ecd1-4065-b571-06d9f2dd11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2025</a:t>
            </a:r>
            <a:r>
              <a:t>支出增减变动表</a:t>
            </a:r>
          </a:p>
        </c:rich>
      </c:tx>
      <c:layout/>
      <c:overlay val="0"/>
      <c:spPr>
        <a:noFill/>
        <a:ln>
          <a:noFill/>
        </a:ln>
        <a:effectLst/>
      </c:spPr>
    </c:title>
    <c:autoTitleDeleted val="0"/>
    <c:plotArea>
      <c:layout>
        <c:manualLayout>
          <c:layoutTarget val="inner"/>
          <c:xMode val="edge"/>
          <c:yMode val="edge"/>
          <c:x val="0.135575"/>
          <c:y val="0.1245"/>
          <c:w val="0.836925"/>
          <c:h val="0.716566666666667"/>
        </c:manualLayout>
      </c:layout>
      <c:lineChart>
        <c:grouping val="standard"/>
        <c:varyColors val="0"/>
        <c:ser>
          <c:idx val="0"/>
          <c:order val="0"/>
          <c:tx>
            <c:strRef>
              <c:f>Sheet1!$B$1</c:f>
              <c:strCache>
                <c:ptCount val="1"/>
                <c:pt idx="0">
                  <c:v>金额</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2025年支出</c:v>
                </c:pt>
                <c:pt idx="1">
                  <c:v>2024年支出</c:v>
                </c:pt>
              </c:strCache>
            </c:strRef>
          </c:cat>
          <c:val>
            <c:numRef>
              <c:f>Sheet1!$B$2:$B$3</c:f>
              <c:numCache>
                <c:formatCode>General</c:formatCode>
                <c:ptCount val="2"/>
                <c:pt idx="0">
                  <c:v>1497.64</c:v>
                </c:pt>
                <c:pt idx="1">
                  <c:v>1324.27</c:v>
                </c:pt>
              </c:numCache>
            </c:numRef>
          </c:val>
          <c:smooth val="0"/>
        </c:ser>
        <c:dLbls>
          <c:showLegendKey val="0"/>
          <c:showVal val="1"/>
          <c:showCatName val="0"/>
          <c:showSerName val="0"/>
          <c:showPercent val="0"/>
          <c:showBubbleSize val="0"/>
        </c:dLbls>
        <c:marker val="0"/>
        <c:smooth val="0"/>
        <c:axId val="986333181"/>
        <c:axId val="41367217"/>
      </c:lineChart>
      <c:catAx>
        <c:axId val="9863331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67217"/>
        <c:crosses val="autoZero"/>
        <c:auto val="1"/>
        <c:lblAlgn val="ctr"/>
        <c:lblOffset val="100"/>
        <c:noMultiLvlLbl val="0"/>
      </c:catAx>
      <c:valAx>
        <c:axId val="4136721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3331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09b68c-3d8e-4872-ae8f-5837a39b7b1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收入占比</a:t>
            </a:r>
          </a:p>
        </c:rich>
      </c:tx>
      <c:layout/>
      <c:overlay val="0"/>
      <c:spPr>
        <a:noFill/>
        <a:ln>
          <a:noFill/>
        </a:ln>
        <a:effectLst/>
      </c:spPr>
    </c:title>
    <c:autoTitleDeleted val="0"/>
    <c:plotArea>
      <c:layout/>
      <c:pieChart>
        <c:varyColors val="1"/>
        <c:ser>
          <c:idx val="0"/>
          <c:order val="0"/>
          <c:tx>
            <c:strRef>
              <c:f>Sheet1!$B$1</c:f>
              <c:strCache>
                <c:ptCount val="1"/>
                <c:pt idx="0">
                  <c:v>收入金额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39"/>
                  <c:y val="0.005080268238162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21692835656098"/>
                  <c:y val="-0.00988188766822561"/>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5825"/>
                      <c:h val="0.046332046332046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c:v>
                </c:pt>
                <c:pt idx="1">
                  <c:v>政府性基金预算财政拨款</c:v>
                </c:pt>
                <c:pt idx="2">
                  <c:v>国有资本经营预算财政拨款</c:v>
                </c:pt>
                <c:pt idx="3">
                  <c:v>其他收入</c:v>
                </c:pt>
              </c:strCache>
            </c:strRef>
          </c:cat>
          <c:val>
            <c:numRef>
              <c:f>Sheet1!$B$2:$B$5</c:f>
              <c:numCache>
                <c:formatCode>General</c:formatCode>
                <c:ptCount val="4"/>
                <c:pt idx="0">
                  <c:v>1497.64</c:v>
                </c:pt>
                <c:pt idx="1">
                  <c:v>0</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a21ade0-02ab-49f0-9ede-b77f383593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支出占比</a:t>
            </a:r>
          </a:p>
        </c:rich>
      </c:tx>
      <c:layout/>
      <c:overlay val="0"/>
      <c:spPr>
        <a:noFill/>
        <a:ln>
          <a:noFill/>
        </a:ln>
        <a:effectLst/>
      </c:spPr>
    </c:title>
    <c:autoTitleDeleted val="0"/>
    <c:plotArea>
      <c:layout/>
      <c:pieChart>
        <c:varyColors val="1"/>
        <c:ser>
          <c:idx val="0"/>
          <c:order val="0"/>
          <c:tx>
            <c:strRef>
              <c:f>Sheet1!$B$1</c:f>
              <c:strCache>
                <c:ptCount val="1"/>
                <c:pt idx="0">
                  <c:v>收入金额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609929513204684"/>
                  <c:y val="0.004342851708111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916928356560978"/>
                  <c:y val="0.001701123914785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c:v>
                </c:pt>
                <c:pt idx="1">
                  <c:v>政府性基金预算财政拨款</c:v>
                </c:pt>
                <c:pt idx="2">
                  <c:v>国有资本经营预算财政拨款</c:v>
                </c:pt>
                <c:pt idx="3">
                  <c:v>其他资金支出</c:v>
                </c:pt>
              </c:strCache>
            </c:strRef>
          </c:cat>
          <c:val>
            <c:numRef>
              <c:f>Sheet1!$B$2:$B$5</c:f>
              <c:numCache>
                <c:formatCode>General</c:formatCode>
                <c:ptCount val="4"/>
                <c:pt idx="0">
                  <c:v>1311.27</c:v>
                </c:pt>
                <c:pt idx="1">
                  <c:v>0</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943085f-8e1b-4acb-a03e-f93a6454f7c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2025</a:t>
            </a:r>
            <a:r>
              <a:rPr altLang="en-US"/>
              <a:t>年</a:t>
            </a:r>
            <a:r>
              <a:t>收入增减变动表</a:t>
            </a:r>
          </a:p>
        </c:rich>
      </c:tx>
      <c:layout/>
      <c:overlay val="0"/>
      <c:spPr>
        <a:noFill/>
        <a:ln>
          <a:noFill/>
        </a:ln>
        <a:effectLst/>
      </c:spPr>
    </c:title>
    <c:autoTitleDeleted val="0"/>
    <c:plotArea>
      <c:layout>
        <c:manualLayout>
          <c:layoutTarget val="inner"/>
          <c:xMode val="edge"/>
          <c:yMode val="edge"/>
          <c:x val="0.135575"/>
          <c:y val="0.119697848636189"/>
          <c:w val="0.836925"/>
          <c:h val="0.716566666666667"/>
        </c:manualLayout>
      </c:layout>
      <c:lineChart>
        <c:grouping val="standard"/>
        <c:varyColors val="0"/>
        <c:ser>
          <c:idx val="0"/>
          <c:order val="0"/>
          <c:tx>
            <c:strRef>
              <c:f>Sheet1!$B$1</c:f>
              <c:strCache>
                <c:ptCount val="1"/>
                <c:pt idx="0">
                  <c:v>金额</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2025年收入</c:v>
                </c:pt>
                <c:pt idx="1">
                  <c:v>2024年收入</c:v>
                </c:pt>
              </c:strCache>
            </c:strRef>
          </c:cat>
          <c:val>
            <c:numRef>
              <c:f>Sheet1!$B$2:$B$3</c:f>
              <c:numCache>
                <c:formatCode>General</c:formatCode>
                <c:ptCount val="2"/>
                <c:pt idx="0">
                  <c:v>1497.64</c:v>
                </c:pt>
                <c:pt idx="1">
                  <c:v>1312.42</c:v>
                </c:pt>
              </c:numCache>
            </c:numRef>
          </c:val>
          <c:smooth val="0"/>
        </c:ser>
        <c:dLbls>
          <c:showLegendKey val="0"/>
          <c:showVal val="1"/>
          <c:showCatName val="0"/>
          <c:showSerName val="0"/>
          <c:showPercent val="0"/>
          <c:showBubbleSize val="0"/>
        </c:dLbls>
        <c:marker val="0"/>
        <c:smooth val="0"/>
        <c:axId val="986333181"/>
        <c:axId val="41367217"/>
      </c:lineChart>
      <c:catAx>
        <c:axId val="9863331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67217"/>
        <c:crosses val="autoZero"/>
        <c:auto val="1"/>
        <c:lblAlgn val="ctr"/>
        <c:lblOffset val="100"/>
        <c:noMultiLvlLbl val="0"/>
      </c:catAx>
      <c:valAx>
        <c:axId val="4136721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3331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61e42de-5def-40db-a2c1-4d0eb24fd37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2025</a:t>
            </a:r>
            <a:r>
              <a:t>支出增减变动表</a:t>
            </a:r>
          </a:p>
        </c:rich>
      </c:tx>
      <c:layout>
        <c:manualLayout>
          <c:xMode val="edge"/>
          <c:yMode val="edge"/>
          <c:x val="0.3365"/>
          <c:y val="0.021505376344086"/>
        </c:manualLayout>
      </c:layout>
      <c:overlay val="0"/>
      <c:spPr>
        <a:noFill/>
        <a:ln>
          <a:noFill/>
        </a:ln>
        <a:effectLst/>
      </c:spPr>
    </c:title>
    <c:autoTitleDeleted val="0"/>
    <c:plotArea>
      <c:layout>
        <c:manualLayout>
          <c:layoutTarget val="inner"/>
          <c:xMode val="edge"/>
          <c:yMode val="edge"/>
          <c:x val="0.13395"/>
          <c:y val="0.128980286738351"/>
          <c:w val="0.836925"/>
          <c:h val="0.716566666666667"/>
        </c:manualLayout>
      </c:layout>
      <c:lineChart>
        <c:grouping val="standard"/>
        <c:varyColors val="0"/>
        <c:ser>
          <c:idx val="0"/>
          <c:order val="0"/>
          <c:tx>
            <c:strRef>
              <c:f>Sheet1!$B$1</c:f>
              <c:strCache>
                <c:ptCount val="1"/>
                <c:pt idx="0">
                  <c:v>金额</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2025年支出</c:v>
                </c:pt>
                <c:pt idx="1">
                  <c:v>2024年支出</c:v>
                </c:pt>
              </c:strCache>
            </c:strRef>
          </c:cat>
          <c:val>
            <c:numRef>
              <c:f>Sheet1!$B$2:$B$3</c:f>
              <c:numCache>
                <c:formatCode>General</c:formatCode>
                <c:ptCount val="2"/>
                <c:pt idx="0">
                  <c:v>1497.64</c:v>
                </c:pt>
                <c:pt idx="1">
                  <c:v>1311.27</c:v>
                </c:pt>
              </c:numCache>
            </c:numRef>
          </c:val>
          <c:smooth val="0"/>
        </c:ser>
        <c:dLbls>
          <c:showLegendKey val="0"/>
          <c:showVal val="1"/>
          <c:showCatName val="0"/>
          <c:showSerName val="0"/>
          <c:showPercent val="0"/>
          <c:showBubbleSize val="0"/>
        </c:dLbls>
        <c:marker val="0"/>
        <c:smooth val="0"/>
        <c:axId val="986333181"/>
        <c:axId val="41367217"/>
      </c:lineChart>
      <c:catAx>
        <c:axId val="9863331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67217"/>
        <c:crosses val="autoZero"/>
        <c:auto val="1"/>
        <c:lblAlgn val="ctr"/>
        <c:lblOffset val="100"/>
        <c:noMultiLvlLbl val="0"/>
      </c:catAx>
      <c:valAx>
        <c:axId val="4136721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3331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17dca3d-7c3d-4000-a6f1-2c493a2ffea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3565</Words>
  <Characters>3943</Characters>
  <Lines>0</Lines>
  <Paragraphs>0</Paragraphs>
  <TotalTime>14</TotalTime>
  <ScaleCrop>false</ScaleCrop>
  <LinksUpToDate>false</LinksUpToDate>
  <CharactersWithSpaces>3950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2023-01-14T15:22:00Z</dcterms:created>
  <dc:creator>86156</dc:creator>
  <cp:lastModifiedBy>泰维靳文杰18560289281</cp:lastModifiedBy>
  <dcterms:modified xsi:type="dcterms:W3CDTF">2026-01-30T05:15:03Z</dcterms:modified>
  <dc:title>2023年度部门决算分析报告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6E52C21CCDD24B95A921AE2990CEC555_13</vt:lpwstr>
  </property>
  <property fmtid="{D5CDD505-2E9C-101B-9397-08002B2CF9AE}" pid="4" name="KSOTemplateDocerSaveRecord">
    <vt:lpwstr>eyJoZGlkIjoiMzRmNDBjMDg5NzkzMTVlYjY2MzYxZTMxZmEzNjU4OGQiLCJ1c2VySWQiOiIxMzg2NDU2NDY3In0=</vt:lpwstr>
  </property>
</Properties>
</file>