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312"/>
        <w:gridCol w:w="11327"/>
        <w:gridCol w:w="1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74" w:type="dxa"/>
            <w:gridSpan w:val="4"/>
          </w:tcPr>
          <w:p>
            <w:pPr>
              <w:jc w:val="center"/>
              <w:rPr>
                <w:sz w:val="28"/>
                <w:szCs w:val="28"/>
              </w:rPr>
            </w:pPr>
            <w:r>
              <w:rPr>
                <w:rFonts w:hint="eastAsia"/>
                <w:b/>
                <w:bCs/>
                <w:sz w:val="28"/>
                <w:szCs w:val="28"/>
              </w:rPr>
              <w:t>淄博高新区教育和体育事业中心2025年涉企行政检查事项清单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4" w:type="dxa"/>
          </w:tcPr>
          <w:p>
            <w:pPr>
              <w:jc w:val="center"/>
              <w:rPr>
                <w:b/>
                <w:bCs/>
                <w:sz w:val="24"/>
                <w:szCs w:val="24"/>
              </w:rPr>
            </w:pPr>
            <w:r>
              <w:rPr>
                <w:rFonts w:hint="eastAsia"/>
                <w:b/>
                <w:bCs/>
                <w:sz w:val="24"/>
                <w:szCs w:val="24"/>
              </w:rPr>
              <w:t>序号</w:t>
            </w:r>
          </w:p>
        </w:tc>
        <w:tc>
          <w:tcPr>
            <w:tcW w:w="1312" w:type="dxa"/>
          </w:tcPr>
          <w:p>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事项名称</w:t>
            </w:r>
          </w:p>
        </w:tc>
        <w:tc>
          <w:tcPr>
            <w:tcW w:w="11327" w:type="dxa"/>
          </w:tcPr>
          <w:p>
            <w:pPr>
              <w:jc w:val="center"/>
              <w:rPr>
                <w:rFonts w:hint="eastAsia"/>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设定依据</w:t>
            </w:r>
          </w:p>
        </w:tc>
        <w:tc>
          <w:tcPr>
            <w:tcW w:w="1791" w:type="dxa"/>
          </w:tcPr>
          <w:p>
            <w:pPr>
              <w:jc w:val="center"/>
              <w:rPr>
                <w:b/>
                <w:bCs/>
                <w:sz w:val="24"/>
                <w:szCs w:val="24"/>
              </w:rPr>
            </w:pPr>
            <w:r>
              <w:rPr>
                <w:rFonts w:hint="eastAsia"/>
                <w:b/>
                <w:bCs/>
                <w:sz w:val="24"/>
                <w:szCs w:val="24"/>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jc w:val="center"/>
        </w:trPr>
        <w:tc>
          <w:tcPr>
            <w:tcW w:w="744" w:type="dxa"/>
            <w:vAlign w:val="center"/>
          </w:tcPr>
          <w:p>
            <w:pPr>
              <w:spacing w:line="720" w:lineRule="auto"/>
              <w:jc w:val="center"/>
              <w:rPr>
                <w:sz w:val="24"/>
                <w:szCs w:val="24"/>
              </w:rPr>
            </w:pPr>
            <w:r>
              <w:rPr>
                <w:rFonts w:hint="eastAsia"/>
                <w:sz w:val="24"/>
                <w:szCs w:val="24"/>
              </w:rPr>
              <w:t>1</w:t>
            </w:r>
          </w:p>
        </w:tc>
        <w:tc>
          <w:tcPr>
            <w:tcW w:w="1312" w:type="dxa"/>
            <w:vAlign w:val="center"/>
          </w:tcPr>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对中小学生校外培训机构</w:t>
            </w:r>
            <w:bookmarkStart w:id="0" w:name="_GoBack"/>
            <w:bookmarkEnd w:id="0"/>
            <w:r>
              <w:rPr>
                <w:rFonts w:hint="eastAsia"/>
                <w:color w:val="000000" w:themeColor="text1"/>
                <w:sz w:val="24"/>
                <w:szCs w:val="24"/>
                <w14:textFill>
                  <w14:solidFill>
                    <w14:schemeClr w14:val="tx1"/>
                  </w14:solidFill>
                </w14:textFill>
              </w:rPr>
              <w:t>办学行为等事项监督检查</w:t>
            </w:r>
          </w:p>
        </w:tc>
        <w:tc>
          <w:tcPr>
            <w:tcW w:w="11327" w:type="dxa"/>
          </w:tcPr>
          <w:p>
            <w:pP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【宪法法律】《中华人民共和国民办教育促进</w:t>
            </w:r>
            <w:r>
              <w:rPr>
                <w:rFonts w:hint="eastAsia"/>
                <w:color w:val="000000" w:themeColor="text1"/>
                <w:sz w:val="24"/>
                <w:szCs w:val="24"/>
                <w:lang w:eastAsia="zh-CN"/>
                <w14:textFill>
                  <w14:solidFill>
                    <w14:schemeClr w14:val="tx1"/>
                  </w14:solidFill>
                </w14:textFill>
              </w:rPr>
              <w:t>法》</w:t>
            </w:r>
            <w:r>
              <w:rPr>
                <w:rFonts w:hint="eastAsia"/>
                <w:color w:val="000000" w:themeColor="text1"/>
                <w:sz w:val="24"/>
                <w:szCs w:val="24"/>
                <w14:textFill>
                  <w14:solidFill>
                    <w14:schemeClr w14:val="tx1"/>
                  </w14:solidFill>
                </w14:textFill>
              </w:rPr>
              <w:t>第八条县级以上地方各级人民政府教育行政部门主管本行政区域内的民办教育工作。</w:t>
            </w:r>
          </w:p>
          <w:p>
            <w:pP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【行政法规】《中华人民共和国民办教育促进法实施条例》第四十七条 县级以上地方人民政府应当建立民办教育工作联席会议制度。教育、人力资源社会保障、民政、市场监督管理等部门应当根据职责会同有关部门建立民办学校年度检查和年度报告制度健全日常监管机制。</w:t>
            </w:r>
          </w:p>
          <w:p>
            <w:pP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【部门规章】《校外培训行政处罚暂行办法》第六条校外培训行政处罚由县级以上人民政府校外培训主管部门依法按照行政处罚权限实施。校外培训主管部门由省级人民政府根据国家有关规定确定。</w:t>
            </w:r>
            <w:r>
              <w:rPr>
                <w:rFonts w:hint="eastAsia"/>
                <w:color w:val="000000" w:themeColor="text1"/>
                <w:sz w:val="24"/>
                <w:szCs w:val="24"/>
                <w14:textFill>
                  <w14:solidFill>
                    <w14:schemeClr w14:val="tx1"/>
                  </w14:solidFill>
                </w14:textFill>
              </w:rPr>
              <w:t>校外培训行政处罚由综合行政执法部门实施的校外培训主管部门应当与综合行政执法部门建立行政执法信息互联互通、执法过程协作配合、执法结果及时反馈的工作机制。校外培训行政处罚由乡镇人民政府、街道办事处实施的，县级校外培训主管部门应当加强对乡镇街道校外培训行政处罚工作的组织协调、业务指导、执法监督。第七条校外培训主管部门可以在法定权限内书面委托符合行政处罚法规定条件的组织实施行政处罚。第三十八条校外培训主管部门应当建立执法监督制度。</w:t>
            </w:r>
          </w:p>
        </w:tc>
        <w:tc>
          <w:tcPr>
            <w:tcW w:w="1791" w:type="dxa"/>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淄博高新区教育和体育事业中心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744" w:type="dxa"/>
            <w:vAlign w:val="center"/>
          </w:tcPr>
          <w:p>
            <w:pPr>
              <w:spacing w:line="720" w:lineRule="auto"/>
              <w:jc w:val="center"/>
              <w:rPr>
                <w:sz w:val="24"/>
                <w:szCs w:val="24"/>
              </w:rPr>
            </w:pPr>
            <w:r>
              <w:rPr>
                <w:rFonts w:hint="eastAsia"/>
                <w:sz w:val="24"/>
                <w:szCs w:val="24"/>
              </w:rPr>
              <w:t>2</w:t>
            </w:r>
          </w:p>
        </w:tc>
        <w:tc>
          <w:tcPr>
            <w:tcW w:w="1312" w:type="dxa"/>
            <w:vAlign w:val="center"/>
          </w:tcPr>
          <w:p>
            <w:pPr>
              <w:jc w:val="center"/>
              <w:rPr>
                <w:sz w:val="24"/>
                <w:szCs w:val="24"/>
              </w:rPr>
            </w:pPr>
            <w:r>
              <w:rPr>
                <w:rFonts w:hint="eastAsia"/>
                <w:sz w:val="24"/>
                <w:szCs w:val="24"/>
              </w:rPr>
              <w:t>对经营高危险性体育项目的监管检查</w:t>
            </w:r>
          </w:p>
        </w:tc>
        <w:tc>
          <w:tcPr>
            <w:tcW w:w="11327" w:type="dxa"/>
          </w:tcPr>
          <w:p>
            <w:pPr>
              <w:rPr>
                <w:sz w:val="24"/>
                <w:szCs w:val="24"/>
              </w:rPr>
            </w:pPr>
            <w:r>
              <w:rPr>
                <w:rFonts w:hint="eastAsia"/>
                <w:sz w:val="24"/>
                <w:szCs w:val="24"/>
              </w:rPr>
              <w:t>【宪法法律】《中华人民共和国体育法》第一百零五条　经营高危险性体育项目，应当符合下列条件，并向县级以上地方人民政府体育行政部门提出申请：</w:t>
            </w:r>
          </w:p>
          <w:p>
            <w:pPr>
              <w:rPr>
                <w:sz w:val="24"/>
                <w:szCs w:val="24"/>
              </w:rPr>
            </w:pPr>
            <w:r>
              <w:rPr>
                <w:rFonts w:hint="eastAsia"/>
                <w:sz w:val="24"/>
                <w:szCs w:val="24"/>
              </w:rPr>
              <w:t>（一）相关体育设施符合国家标准；</w:t>
            </w:r>
          </w:p>
          <w:p>
            <w:pPr>
              <w:rPr>
                <w:sz w:val="24"/>
                <w:szCs w:val="24"/>
              </w:rPr>
            </w:pPr>
            <w:r>
              <w:rPr>
                <w:rFonts w:hint="eastAsia"/>
                <w:sz w:val="24"/>
                <w:szCs w:val="24"/>
              </w:rPr>
              <w:t>（二）具有达到规定数量的取得相应国家职业资格证书或者职业技能等级证书的社会体育指导人员和救助人员；</w:t>
            </w:r>
          </w:p>
          <w:p>
            <w:pPr>
              <w:rPr>
                <w:sz w:val="24"/>
                <w:szCs w:val="24"/>
              </w:rPr>
            </w:pPr>
            <w:r>
              <w:rPr>
                <w:rFonts w:hint="eastAsia"/>
                <w:sz w:val="24"/>
                <w:szCs w:val="24"/>
              </w:rPr>
              <w:t>（三）具有相应的安全保障、应急救援制度和措施。</w:t>
            </w:r>
          </w:p>
          <w:p>
            <w:pPr>
              <w:rPr>
                <w:sz w:val="24"/>
                <w:szCs w:val="24"/>
              </w:rPr>
            </w:pPr>
            <w:r>
              <w:rPr>
                <w:rFonts w:hint="eastAsia"/>
                <w:sz w:val="24"/>
                <w:szCs w:val="24"/>
              </w:rPr>
              <w:t>县级以上地方人民政府体育行政部门应当自收到申请之日起三十日内进行实地核查，并作出批准或者不予批准的决定。予以批准的，应当发给许可证；不予批准的，应当书面通知申请人并说明理由。</w:t>
            </w:r>
          </w:p>
          <w:p>
            <w:pPr>
              <w:rPr>
                <w:sz w:val="24"/>
                <w:szCs w:val="24"/>
              </w:rPr>
            </w:pPr>
            <w:r>
              <w:rPr>
                <w:rFonts w:hint="eastAsia"/>
                <w:sz w:val="24"/>
                <w:szCs w:val="24"/>
              </w:rPr>
              <w:t>国务院体育行政部门会同有关部门制定、调整高危险性体育项目目录并予以公布。</w:t>
            </w:r>
          </w:p>
          <w:p>
            <w:pPr>
              <w:rPr>
                <w:sz w:val="24"/>
                <w:szCs w:val="24"/>
              </w:rPr>
            </w:pPr>
            <w:r>
              <w:rPr>
                <w:rFonts w:hint="eastAsia"/>
                <w:sz w:val="24"/>
                <w:szCs w:val="24"/>
              </w:rPr>
              <w:t>第一百一十六条　未经许可经营高危险性体育项目的，由县级以上地方人民政府体育行政部门会同有关部门责令限期关闭；逾期未关闭的，处十万元以上五十万元以下的罚款；有违法所得的，没收违法所得</w:t>
            </w:r>
            <w:r>
              <w:rPr>
                <w:rFonts w:hint="eastAsia"/>
                <w:sz w:val="24"/>
                <w:szCs w:val="24"/>
                <w:lang w:eastAsia="zh-CN"/>
              </w:rPr>
              <w:t>。</w:t>
            </w:r>
            <w:r>
              <w:rPr>
                <w:rFonts w:hint="eastAsia"/>
                <w:sz w:val="24"/>
                <w:szCs w:val="24"/>
              </w:rPr>
              <w:t>违法经营高危险性体育项目的，由县级以上地方人民政府体育行政部门责令改正；逾期未改正的，处五万元以上五十万元以下的罚款；有违法所得的，没收违法所得；造成严重后果的，由主管部门责令关闭，吊销许可证照，五年内不得再从事该项目经营活动。</w:t>
            </w:r>
          </w:p>
          <w:p>
            <w:pPr>
              <w:rPr>
                <w:sz w:val="24"/>
                <w:szCs w:val="24"/>
              </w:rPr>
            </w:pPr>
            <w:r>
              <w:rPr>
                <w:rFonts w:hint="eastAsia"/>
                <w:sz w:val="24"/>
                <w:szCs w:val="24"/>
              </w:rPr>
              <w:t>【部门规章】《经营高危险性体育项目许可管理办法》所有条目。</w:t>
            </w:r>
          </w:p>
        </w:tc>
        <w:tc>
          <w:tcPr>
            <w:tcW w:w="1791" w:type="dxa"/>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淄博高新区教育和体育事业中心</w:t>
            </w:r>
          </w:p>
        </w:tc>
      </w:tr>
    </w:tbl>
    <w:p/>
    <w:sectPr>
      <w:pgSz w:w="16838" w:h="11906" w:orient="landscape"/>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1B8"/>
    <w:rsid w:val="003351B8"/>
    <w:rsid w:val="004256C0"/>
    <w:rsid w:val="00540A7F"/>
    <w:rsid w:val="009B00A1"/>
    <w:rsid w:val="00E74D19"/>
    <w:rsid w:val="0F586609"/>
    <w:rsid w:val="1D490FA6"/>
    <w:rsid w:val="5C36450F"/>
    <w:rsid w:val="6F106C45"/>
    <w:rsid w:val="77044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170</Words>
  <Characters>974</Characters>
  <Lines>8</Lines>
  <Paragraphs>2</Paragraphs>
  <TotalTime>34</TotalTime>
  <ScaleCrop>false</ScaleCrop>
  <LinksUpToDate>false</LinksUpToDate>
  <CharactersWithSpaces>1142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2025-06-10T01:52:00Z</dcterms:created>
  <dc:creator>Administrator</dc:creator>
  <cp:lastModifiedBy>Administrator</cp:lastModifiedBy>
  <dcterms:modified xsi:type="dcterms:W3CDTF">2025-06-10T03:13:10Z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