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ind w:left="0" w:firstLine="480"/>
        <w:jc w:val="center"/>
        <w:rPr>
          <w:rFonts w:ascii="微软雅黑" w:hAnsi="微软雅黑" w:eastAsia="微软雅黑" w:cs="微软雅黑"/>
          <w:b/>
          <w:bCs/>
          <w:caps w:val="0"/>
          <w:color w:val="000000"/>
          <w:spacing w:val="0"/>
          <w:sz w:val="36"/>
          <w:szCs w:val="36"/>
          <w:shd w:val="clear" w:fill="FFFFFF"/>
        </w:rPr>
      </w:pPr>
      <w:bookmarkStart w:id="0" w:name="_GoBack"/>
      <w:r>
        <w:rPr>
          <w:rFonts w:hint="eastAsia" w:ascii="微软雅黑" w:hAnsi="微软雅黑" w:eastAsia="微软雅黑" w:cs="微软雅黑"/>
          <w:b/>
          <w:bCs/>
          <w:caps w:val="0"/>
          <w:color w:val="000000"/>
          <w:spacing w:val="0"/>
          <w:sz w:val="36"/>
          <w:szCs w:val="36"/>
          <w:shd w:val="clear" w:fill="FFFFFF"/>
        </w:rPr>
        <w:t>淄博高新区投资促进服务中心2023年政府信息公开工作年度报告</w:t>
      </w:r>
    </w:p>
    <w:bookmarkEnd w:id="0"/>
    <w:p>
      <w:pPr>
        <w:pStyle w:val="2"/>
        <w:keepNext w:val="0"/>
        <w:keepLines w:val="0"/>
        <w:widowControl/>
        <w:suppressLineNumbers w:val="0"/>
        <w:autoSpaceDE w:val="0"/>
        <w:autoSpaceDN/>
        <w:ind w:left="0" w:firstLine="480"/>
      </w:pPr>
      <w:r>
        <w:rPr>
          <w:rFonts w:ascii="微软雅黑" w:hAnsi="微软雅黑" w:eastAsia="微软雅黑" w:cs="微软雅黑"/>
          <w:caps w:val="0"/>
          <w:color w:val="000000"/>
          <w:spacing w:val="0"/>
          <w:sz w:val="24"/>
          <w:szCs w:val="24"/>
          <w:shd w:val="clear" w:fill="FFFFFF"/>
        </w:rPr>
        <w:t>本年度报告根据《中华人民共和国政府信息公开条例》和《国务院办公厅政府信息与政务公开办公室关于印发</w:t>
      </w:r>
      <w:r>
        <w:rPr>
          <w:rFonts w:hint="eastAsia" w:ascii="微软雅黑" w:hAnsi="微软雅黑" w:eastAsia="微软雅黑" w:cs="微软雅黑"/>
          <w:caps w:val="0"/>
          <w:color w:val="000000"/>
          <w:spacing w:val="0"/>
          <w:sz w:val="24"/>
          <w:szCs w:val="24"/>
          <w:shd w:val="clear" w:fill="FFFFFF"/>
        </w:rPr>
        <w:t>&lt;中华人民共和国政府信息公开工作年度报告格式&gt;的通知》（国办公开办函〔2021〕30号）相关要求编制。报告中所列数据的统计期限自2023年1月1日起至2023年12月31日止。本报告可在淄博高新区政府信息公开网站(http://www.china-zibo.gov.cn)下载。如对本报告有任何疑问，请与淄博高新区投资促进服务中心综合科联系(地址：淄博市张店区柳泉路109号火炬大厦1203室;联系电话：3581277)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pPr>
      <w:r>
        <w:rPr>
          <w:rStyle w:val="5"/>
          <w:rFonts w:hint="eastAsia" w:ascii="微软雅黑" w:hAnsi="微软雅黑" w:eastAsia="微软雅黑" w:cs="微软雅黑"/>
          <w:caps w:val="0"/>
          <w:color w:val="000000"/>
          <w:spacing w:val="0"/>
          <w:sz w:val="24"/>
          <w:szCs w:val="24"/>
          <w:bdr w:val="none" w:color="auto" w:sz="0" w:space="0"/>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pPr>
      <w:r>
        <w:rPr>
          <w:rFonts w:hint="eastAsia" w:ascii="微软雅黑" w:hAnsi="微软雅黑" w:eastAsia="微软雅黑" w:cs="微软雅黑"/>
          <w:caps w:val="0"/>
          <w:color w:val="000000"/>
          <w:spacing w:val="0"/>
          <w:sz w:val="24"/>
          <w:szCs w:val="24"/>
          <w:bdr w:val="none" w:color="auto" w:sz="0" w:space="0"/>
          <w:shd w:val="clear" w:fill="FFFFFF"/>
        </w:rPr>
        <w:t>2023年度，投资促进服务中心认真贯彻落实上级有关加强政府信息公开的各项要求，结合中心内业务工作，所公开的信息主要是招商引资动态、省市招商引资相关政策以及本部门的财务预决算报告等。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pPr>
      <w:r>
        <w:rPr>
          <w:rFonts w:hint="eastAsia" w:ascii="微软雅黑" w:hAnsi="微软雅黑" w:eastAsia="微软雅黑" w:cs="微软雅黑"/>
          <w:caps w:val="0"/>
          <w:color w:val="000000"/>
          <w:spacing w:val="0"/>
          <w:sz w:val="24"/>
          <w:szCs w:val="24"/>
          <w:bdr w:val="none" w:color="auto" w:sz="0" w:space="0"/>
          <w:shd w:val="clear" w:fill="FFFFFF"/>
        </w:rPr>
        <w:t>（一）扎实推进主动公开。</w:t>
      </w:r>
      <w:r>
        <w:rPr>
          <w:rFonts w:hint="eastAsia" w:ascii="微软雅黑" w:hAnsi="微软雅黑" w:eastAsia="微软雅黑" w:cs="微软雅黑"/>
          <w:caps w:val="0"/>
          <w:spacing w:val="0"/>
          <w:sz w:val="24"/>
          <w:szCs w:val="24"/>
          <w:bdr w:val="none" w:color="auto" w:sz="0" w:space="0"/>
          <w:shd w:val="clear" w:fill="FFFFFF"/>
        </w:rPr>
        <w:t>2023年，投资促进服务中心主动公开政府信息238条，其中，规范性文件3条，政府会议4条，其他信息231条。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pPr>
      <w:r>
        <w:rPr>
          <w:rFonts w:hint="eastAsia" w:ascii="微软雅黑" w:hAnsi="微软雅黑" w:eastAsia="微软雅黑" w:cs="微软雅黑"/>
          <w:caps w:val="0"/>
          <w:color w:val="000000"/>
          <w:spacing w:val="0"/>
          <w:sz w:val="24"/>
          <w:szCs w:val="24"/>
          <w:bdr w:val="none" w:color="auto" w:sz="0" w:space="0"/>
          <w:shd w:val="clear" w:fill="FFFFFF"/>
        </w:rPr>
        <w:t>（二）做好依申请公开答复工作。2023年度，我部门未收到政府信息公开申请。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pPr>
      <w:r>
        <w:rPr>
          <w:rFonts w:hint="eastAsia" w:ascii="微软雅黑" w:hAnsi="微软雅黑" w:eastAsia="微软雅黑" w:cs="微软雅黑"/>
          <w:caps w:val="0"/>
          <w:color w:val="000000"/>
          <w:spacing w:val="0"/>
          <w:sz w:val="24"/>
          <w:szCs w:val="24"/>
          <w:bdr w:val="none" w:color="auto" w:sz="0" w:space="0"/>
          <w:shd w:val="clear" w:fill="FFFFFF"/>
        </w:rPr>
        <w:t>（三）加强政府信息管理。一是结合工作实际调整了政府信息公开工作人员分工，把具体责任量化到人，确保及时进行信息的公开、更新、发布、依申请公开和互动回复。二是根据管委会要求，</w:t>
      </w:r>
      <w:r>
        <w:rPr>
          <w:rFonts w:hint="eastAsia" w:ascii="微软雅黑" w:hAnsi="微软雅黑" w:eastAsia="微软雅黑" w:cs="微软雅黑"/>
          <w:caps w:val="0"/>
          <w:color w:val="333333"/>
          <w:spacing w:val="0"/>
          <w:sz w:val="24"/>
          <w:szCs w:val="24"/>
          <w:bdr w:val="none" w:color="auto" w:sz="0" w:space="0"/>
          <w:shd w:val="clear" w:fill="FFFFFF"/>
        </w:rPr>
        <w:t>不断建立健全政府信息制作、公开、存档等制度，</w:t>
      </w:r>
      <w:r>
        <w:rPr>
          <w:rFonts w:hint="eastAsia" w:ascii="微软雅黑" w:hAnsi="微软雅黑" w:eastAsia="微软雅黑" w:cs="微软雅黑"/>
          <w:caps w:val="0"/>
          <w:color w:val="000000"/>
          <w:spacing w:val="0"/>
          <w:sz w:val="24"/>
          <w:szCs w:val="24"/>
          <w:bdr w:val="none" w:color="auto" w:sz="0" w:space="0"/>
          <w:shd w:val="clear" w:fill="FFFFFF"/>
        </w:rPr>
        <w:t>对政府信息及时动态更新</w:t>
      </w:r>
      <w:r>
        <w:rPr>
          <w:rFonts w:hint="eastAsia" w:ascii="微软雅黑" w:hAnsi="微软雅黑" w:eastAsia="微软雅黑" w:cs="微软雅黑"/>
          <w:caps w:val="0"/>
          <w:spacing w:val="0"/>
          <w:sz w:val="24"/>
          <w:szCs w:val="24"/>
          <w:bdr w:val="none" w:color="auto" w:sz="0" w:space="0"/>
          <w:shd w:val="clear" w:fill="FFFFFF"/>
        </w:rPr>
        <w:t>、及时清理，做</w:t>
      </w:r>
      <w:r>
        <w:rPr>
          <w:rFonts w:hint="eastAsia" w:ascii="微软雅黑" w:hAnsi="微软雅黑" w:eastAsia="微软雅黑" w:cs="微软雅黑"/>
          <w:caps w:val="0"/>
          <w:color w:val="000000"/>
          <w:spacing w:val="0"/>
          <w:sz w:val="24"/>
          <w:szCs w:val="24"/>
          <w:bdr w:val="none" w:color="auto" w:sz="0" w:space="0"/>
          <w:shd w:val="clear" w:fill="FFFFFF"/>
        </w:rPr>
        <w:t>到</w:t>
      </w:r>
      <w:r>
        <w:rPr>
          <w:rFonts w:hint="eastAsia" w:ascii="微软雅黑" w:hAnsi="微软雅黑" w:eastAsia="微软雅黑" w:cs="微软雅黑"/>
          <w:caps w:val="0"/>
          <w:color w:val="333333"/>
          <w:spacing w:val="0"/>
          <w:sz w:val="24"/>
          <w:szCs w:val="24"/>
          <w:bdr w:val="none" w:color="auto" w:sz="0" w:space="0"/>
          <w:shd w:val="clear" w:fill="FFFFFF"/>
        </w:rPr>
        <w:t>规范管理</w:t>
      </w:r>
      <w:r>
        <w:rPr>
          <w:rFonts w:hint="eastAsia" w:ascii="微软雅黑" w:hAnsi="微软雅黑" w:eastAsia="微软雅黑" w:cs="微软雅黑"/>
          <w:caps w:val="0"/>
          <w:color w:val="000000"/>
          <w:spacing w:val="0"/>
          <w:sz w:val="24"/>
          <w:szCs w:val="24"/>
          <w:bdr w:val="none" w:color="auto" w:sz="0" w:space="0"/>
          <w:shd w:val="clear" w:fill="FFFFFF"/>
        </w:rPr>
        <w:t>。三是进一步规范信息公开保密审核，严格保密审查，确保不发生信息安全事故。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pPr>
      <w:r>
        <w:rPr>
          <w:rFonts w:hint="eastAsia" w:ascii="微软雅黑" w:hAnsi="微软雅黑" w:eastAsia="微软雅黑" w:cs="微软雅黑"/>
          <w:caps w:val="0"/>
          <w:color w:val="000000"/>
          <w:spacing w:val="0"/>
          <w:sz w:val="24"/>
          <w:szCs w:val="24"/>
          <w:bdr w:val="none" w:color="auto" w:sz="0" w:space="0"/>
          <w:shd w:val="clear" w:fill="FFFFFF"/>
        </w:rPr>
        <w:t>（四）不断完善政府信息公开平台建设。按照统一部署，进行了政务公开平台的调整，及时完善栏目及内容，方便群众获取。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 w:afterAutospacing="0"/>
        <w:ind w:left="0" w:right="0" w:firstLine="640"/>
        <w:jc w:val="left"/>
      </w:pPr>
      <w:r>
        <w:rPr>
          <w:rFonts w:hint="eastAsia" w:ascii="微软雅黑" w:hAnsi="微软雅黑" w:eastAsia="微软雅黑" w:cs="微软雅黑"/>
          <w:caps w:val="0"/>
          <w:color w:val="000000"/>
          <w:spacing w:val="0"/>
          <w:sz w:val="24"/>
          <w:szCs w:val="24"/>
          <w:bdr w:val="none" w:color="auto" w:sz="0" w:space="0"/>
          <w:shd w:val="clear" w:fill="FFFFFF"/>
        </w:rPr>
        <w:t>（五）持续加强监督保障。按照管委会要求，对公开信息依法依规进行审查，确保公开信息准确规范。同时，对工作职责、办公地址、联系方式等内容进行公开，及时更新相关工作事项进展，确保监督保障渠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pPr>
      <w:r>
        <w:rPr>
          <w:rStyle w:val="5"/>
          <w:rFonts w:hint="eastAsia" w:ascii="微软雅黑" w:hAnsi="微软雅黑" w:eastAsia="微软雅黑" w:cs="微软雅黑"/>
          <w:caps w:val="0"/>
          <w:color w:val="000000"/>
          <w:spacing w:val="0"/>
          <w:sz w:val="24"/>
          <w:szCs w:val="24"/>
          <w:bdr w:val="none" w:color="auto" w:sz="0" w:space="0"/>
          <w:shd w:val="clear" w:fill="FFFFFF"/>
        </w:rPr>
        <w:t>二、主动公开政府信息情况</w:t>
      </w:r>
    </w:p>
    <w:tbl>
      <w:tblPr>
        <w:tblW w:w="8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信息内容</w:t>
            </w:r>
          </w:p>
        </w:tc>
        <w:tc>
          <w:tcPr>
            <w:tcW w:w="198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本年制发件数</w:t>
            </w:r>
          </w:p>
        </w:tc>
        <w:tc>
          <w:tcPr>
            <w:tcW w:w="20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本年废止件数</w:t>
            </w:r>
          </w:p>
        </w:tc>
        <w:tc>
          <w:tcPr>
            <w:tcW w:w="222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sz w:val="24"/>
                <w:szCs w:val="24"/>
              </w:rPr>
              <w:t>规章</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c>
          <w:tcPr>
            <w:tcW w:w="20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c>
          <w:tcPr>
            <w:tcW w:w="22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sz w:val="24"/>
                <w:szCs w:val="24"/>
              </w:rPr>
              <w:t>行政规范性文件</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c>
          <w:tcPr>
            <w:tcW w:w="20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c>
          <w:tcPr>
            <w:tcW w:w="22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3"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行政许可</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sz w:val="24"/>
                <w:szCs w:val="24"/>
              </w:rPr>
              <w:t>行政处罚</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sz w:val="24"/>
                <w:szCs w:val="24"/>
              </w:rPr>
              <w:t>行政强制</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sz w:val="24"/>
                <w:szCs w:val="24"/>
              </w:rPr>
              <w:t>行政事业性收费</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2" w:beforeAutospacing="0" w:after="0" w:afterAutospacing="0"/>
        <w:ind w:left="0" w:right="0" w:firstLine="0"/>
      </w:pPr>
      <w:r>
        <w:rPr>
          <w:rFonts w:hint="eastAsia" w:ascii="微软雅黑" w:hAnsi="微软雅黑" w:eastAsia="微软雅黑" w:cs="微软雅黑"/>
          <w:caps w:val="0"/>
          <w:color w:val="000000"/>
          <w:spacing w:val="0"/>
          <w:sz w:val="24"/>
          <w:szCs w:val="24"/>
          <w:bdr w:val="none" w:color="auto" w:sz="0" w:space="0"/>
          <w:shd w:val="clear" w:fill="FFFFFF"/>
        </w:rPr>
        <w:t>  </w:t>
      </w:r>
      <w:r>
        <w:rPr>
          <w:rStyle w:val="5"/>
          <w:rFonts w:hint="eastAsia" w:ascii="微软雅黑" w:hAnsi="微软雅黑" w:eastAsia="微软雅黑" w:cs="微软雅黑"/>
          <w:caps w:val="0"/>
          <w:color w:val="000000"/>
          <w:spacing w:val="0"/>
          <w:sz w:val="24"/>
          <w:szCs w:val="24"/>
          <w:bdr w:val="none" w:color="auto" w:sz="0" w:space="0"/>
          <w:shd w:val="clear" w:fill="FFFFFF"/>
        </w:rPr>
        <w:t>三、收到和处理政府信息公开申请情况</w:t>
      </w:r>
    </w:p>
    <w:tbl>
      <w:tblPr>
        <w:tblW w:w="978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6"/>
        <w:gridCol w:w="1541"/>
        <w:gridCol w:w="2633"/>
        <w:gridCol w:w="564"/>
        <w:gridCol w:w="702"/>
        <w:gridCol w:w="701"/>
        <w:gridCol w:w="702"/>
        <w:gridCol w:w="702"/>
        <w:gridCol w:w="702"/>
        <w:gridCol w:w="8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4820"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（本列数据的勾稽关系为：第一项加第二项之和，等于第三项加第四项之和）</w:t>
            </w:r>
          </w:p>
        </w:tc>
        <w:tc>
          <w:tcPr>
            <w:tcW w:w="4961"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trPr>
        <w:tc>
          <w:tcPr>
            <w:tcW w:w="482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自然人</w:t>
            </w:r>
          </w:p>
        </w:tc>
        <w:tc>
          <w:tcPr>
            <w:tcW w:w="3544"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法人或其他组织</w:t>
            </w:r>
          </w:p>
        </w:tc>
        <w:tc>
          <w:tcPr>
            <w:tcW w:w="85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7" w:hRule="atLeast"/>
        </w:trPr>
        <w:tc>
          <w:tcPr>
            <w:tcW w:w="482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商业企业</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科研机构</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社会公益组织</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法律服务机构</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其他</w:t>
            </w:r>
          </w:p>
        </w:tc>
        <w:tc>
          <w:tcPr>
            <w:tcW w:w="85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trPr>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一、本年新收政府信息公开申请数量</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9" w:hRule="atLeast"/>
        </w:trPr>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二、上年结转政府信息公开申请数量</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trPr>
        <w:tc>
          <w:tcPr>
            <w:tcW w:w="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三、本年度办理结果</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（一）予以公开</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（二）部分公开（区分处理的，只计这一情形，不计其他情形）</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（三）不予公开</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1．属于国家秘密</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6"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2．其他法律行政法规禁止公开</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3．危及“三安全一稳定”</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4．保护第三方合法权益</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5．属于三类内部事务信息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6．属于四类过程性信息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7．属于行政执法案卷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1"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8．属于行政查询事项</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（四）无法提供</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1．本机关不掌握相关政府信息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2．没有现成信息需要另行制作</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3．补正后申请内容仍不明确</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（五）不予处理</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1．信访举报投诉类申请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2．重复申请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3．要求提供公开出版物</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4．无正当理由大量反复申请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180" w:right="0" w:hanging="180"/>
            </w:pPr>
            <w:r>
              <w:rPr>
                <w:rFonts w:hint="eastAsia" w:ascii="微软雅黑" w:hAnsi="微软雅黑" w:eastAsia="微软雅黑" w:cs="微软雅黑"/>
                <w:caps w:val="0"/>
                <w:color w:val="000000"/>
                <w:spacing w:val="0"/>
                <w:sz w:val="24"/>
                <w:szCs w:val="24"/>
              </w:rPr>
              <w:t>5．要求行政机关确认或重新出具已获取信息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trPr>
        <w:tc>
          <w:tcPr>
            <w:tcW w:w="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 </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（六）其他处理</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 </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（七）总计</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四、结转下年度继续办理</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Style w:val="5"/>
          <w:rFonts w:hint="eastAsia" w:ascii="微软雅黑" w:hAnsi="微软雅黑" w:eastAsia="微软雅黑" w:cs="微软雅黑"/>
          <w:caps w:val="0"/>
          <w:color w:val="000000"/>
          <w:spacing w:val="0"/>
          <w:sz w:val="24"/>
          <w:szCs w:val="24"/>
          <w:bdr w:val="none" w:color="auto" w:sz="0" w:space="0"/>
          <w:shd w:val="clear" w:fill="FFFFFF"/>
        </w:rPr>
        <w:t>四、政府信息公开行政复议、行政诉讼情况</w:t>
      </w:r>
    </w:p>
    <w:tbl>
      <w:tblPr>
        <w:tblW w:w="1020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6"/>
        <w:gridCol w:w="705"/>
        <w:gridCol w:w="707"/>
        <w:gridCol w:w="680"/>
        <w:gridCol w:w="593"/>
        <w:gridCol w:w="707"/>
        <w:gridCol w:w="707"/>
        <w:gridCol w:w="707"/>
        <w:gridCol w:w="706"/>
        <w:gridCol w:w="566"/>
        <w:gridCol w:w="847"/>
        <w:gridCol w:w="648"/>
        <w:gridCol w:w="764"/>
        <w:gridCol w:w="707"/>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trPr>
        <w:tc>
          <w:tcPr>
            <w:tcW w:w="34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行政复议</w:t>
            </w:r>
          </w:p>
        </w:tc>
        <w:tc>
          <w:tcPr>
            <w:tcW w:w="6804"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trPr>
        <w:tc>
          <w:tcPr>
            <w:tcW w:w="70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结果维持</w:t>
            </w:r>
          </w:p>
        </w:tc>
        <w:tc>
          <w:tcPr>
            <w:tcW w:w="7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结果纠正</w:t>
            </w:r>
          </w:p>
        </w:tc>
        <w:tc>
          <w:tcPr>
            <w:tcW w:w="70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其他结果</w:t>
            </w:r>
          </w:p>
        </w:tc>
        <w:tc>
          <w:tcPr>
            <w:tcW w:w="68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尚未审结</w:t>
            </w:r>
          </w:p>
        </w:tc>
        <w:tc>
          <w:tcPr>
            <w:tcW w:w="59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总计</w:t>
            </w:r>
          </w:p>
        </w:tc>
        <w:tc>
          <w:tcPr>
            <w:tcW w:w="340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未经复议直接起诉</w:t>
            </w:r>
          </w:p>
        </w:tc>
        <w:tc>
          <w:tcPr>
            <w:tcW w:w="340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0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8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结果维持</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结果纠正</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其他结果</w:t>
            </w:r>
          </w:p>
        </w:tc>
        <w:tc>
          <w:tcPr>
            <w:tcW w:w="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尚未审结</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总计</w:t>
            </w:r>
          </w:p>
        </w:tc>
        <w:tc>
          <w:tcPr>
            <w:tcW w:w="8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结果维持</w:t>
            </w:r>
          </w:p>
        </w:tc>
        <w:tc>
          <w:tcPr>
            <w:tcW w:w="6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结果纠正</w:t>
            </w:r>
          </w:p>
        </w:tc>
        <w:tc>
          <w:tcPr>
            <w:tcW w:w="7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其他结果</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尚未审结</w:t>
            </w:r>
          </w:p>
        </w:tc>
        <w:tc>
          <w:tcPr>
            <w:tcW w:w="4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6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5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c>
          <w:tcPr>
            <w:tcW w:w="4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aps w:val="0"/>
                <w:color w:val="000000"/>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caps w:val="0"/>
          <w:color w:val="000000"/>
          <w:spacing w:val="0"/>
          <w:sz w:val="24"/>
          <w:szCs w:val="24"/>
          <w:bdr w:val="none" w:color="auto" w:sz="0" w:space="0"/>
          <w:shd w:val="clear" w:fill="FFFFFF"/>
        </w:rPr>
        <w:t> </w:t>
      </w:r>
      <w:r>
        <w:rPr>
          <w:rStyle w:val="5"/>
          <w:rFonts w:hint="eastAsia" w:ascii="微软雅黑" w:hAnsi="微软雅黑" w:eastAsia="微软雅黑" w:cs="微软雅黑"/>
          <w:caps w:val="0"/>
          <w:color w:val="000000"/>
          <w:spacing w:val="0"/>
          <w:sz w:val="24"/>
          <w:szCs w:val="24"/>
          <w:bdr w:val="none" w:color="auto" w:sz="0" w:space="0"/>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2023年，投资促进服务中心的政府信息公开工作虽取得了一定成效，但与省、市要求和公众期望相比还有差距，主要问题是：一是工作人员对政府信息公开意识还不够强；二是政府信息公开工作的实效性、及时性有待提高；投资促进服务中心在2024年的政府信息公开工作中，将继续按照市、区有关部门的要求，进一步加强政务公开工作的组织领导，一是严格落实具体责任人制度，增强政府信息公开的及时性、全面性、规范性；二是不断完善了信息公开工作机制，进一步促进政府信息公开工作经常化、制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Style w:val="5"/>
          <w:rFonts w:hint="eastAsia" w:ascii="微软雅黑" w:hAnsi="微软雅黑" w:eastAsia="微软雅黑" w:cs="微软雅黑"/>
          <w:caps w:val="0"/>
          <w:color w:val="000000"/>
          <w:spacing w:val="0"/>
          <w:sz w:val="24"/>
          <w:szCs w:val="24"/>
          <w:bdr w:val="none" w:color="auto" w:sz="0" w:space="0"/>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1、本年度依申请公开，未收取任何信息处理费。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2、 本年度无建议提案办理情况。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3、本单位在平台建设方面的创新实践情况。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2023年度畅通公众参与渠道，通过淄博高新、淄博高新等多渠道进行招商引资政策及动态发布，畅行决策相关信息等渠道。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4、落实上级年度政务公开工作要点情况。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firstLine="480"/>
        <w:jc w:val="left"/>
      </w:pPr>
      <w:r>
        <w:rPr>
          <w:rFonts w:hint="eastAsia" w:ascii="微软雅黑" w:hAnsi="微软雅黑" w:eastAsia="微软雅黑" w:cs="微软雅黑"/>
          <w:caps w:val="0"/>
          <w:color w:val="000000"/>
          <w:spacing w:val="0"/>
          <w:sz w:val="24"/>
          <w:szCs w:val="24"/>
          <w:bdr w:val="none" w:color="auto" w:sz="0" w:space="0"/>
          <w:shd w:val="clear" w:fill="FFFFFF"/>
        </w:rPr>
        <w:t>2023年按照相关要求,及时调整信息公开目录，进一步健全制度机制，在做好基础性公开工作的同时，围绕投促中心具体工作，主动公开招商引资动态、省市招商引资相关政策等信息200余篇。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1606F2F"/>
    <w:rsid w:val="25B367D0"/>
    <w:rsid w:val="301200CD"/>
    <w:rsid w:val="4E582681"/>
    <w:rsid w:val="4EBF4E76"/>
    <w:rsid w:val="6C58250B"/>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3047</Words>
  <Characters>3174</Characters>
  <Lines>0</Lines>
  <Paragraphs>0</Paragraphs>
  <TotalTime>124</TotalTime>
  <ScaleCrop>false</ScaleCrop>
  <LinksUpToDate>false</LinksUpToDate>
  <CharactersWithSpaces>3178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2024-01-31T05:45:39Z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DB6608FADC574C3D8CCE0332FFD3E8A0_13</vt:lpwstr>
  </property>
</Properties>
</file>