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C4C205">
      <w:pPr>
        <w:rPr>
          <w:rFonts w:hint="default" w:ascii="Times New Roman" w:hAnsi="Times New Roman" w:eastAsia="仿宋" w:cs="Times New Roman"/>
          <w:b/>
          <w:bCs/>
          <w:sz w:val="28"/>
          <w:szCs w:val="28"/>
          <w:lang w:val="en-US" w:eastAsia="zh-CN"/>
        </w:rPr>
      </w:pPr>
      <w:r>
        <w:rPr>
          <w:rFonts w:hint="eastAsia" w:ascii="Times New Roman" w:hAnsi="Times New Roman" w:eastAsia="仿宋" w:cs="Times New Roman"/>
          <w:b/>
          <w:bCs/>
          <w:sz w:val="28"/>
          <w:szCs w:val="28"/>
          <w:lang w:val="en-US" w:eastAsia="zh-CN"/>
        </w:rPr>
        <w:t>1、农药残留</w:t>
      </w:r>
    </w:p>
    <w:p w14:paraId="4679CF06">
      <w:pPr>
        <w:ind w:firstLine="562" w:firstLineChars="200"/>
        <w:rPr>
          <w:rFonts w:hint="eastAsia" w:ascii="Times New Roman" w:hAnsi="Times New Roman" w:eastAsia="仿宋" w:cs="Times New Roman"/>
          <w:b/>
          <w:bCs/>
          <w:sz w:val="28"/>
          <w:szCs w:val="28"/>
          <w:lang w:eastAsia="zh-CN"/>
        </w:rPr>
      </w:pPr>
      <w:r>
        <w:rPr>
          <w:rFonts w:hint="eastAsia" w:ascii="Times New Roman" w:hAnsi="Times New Roman" w:eastAsia="仿宋" w:cs="Times New Roman"/>
          <w:b/>
          <w:bCs/>
          <w:sz w:val="28"/>
          <w:szCs w:val="28"/>
          <w:lang w:eastAsia="zh-CN"/>
        </w:rPr>
        <w:t>（</w:t>
      </w:r>
      <w:r>
        <w:rPr>
          <w:rFonts w:hint="eastAsia" w:ascii="Times New Roman" w:hAnsi="Times New Roman" w:eastAsia="仿宋" w:cs="Times New Roman"/>
          <w:b/>
          <w:bCs/>
          <w:sz w:val="28"/>
          <w:szCs w:val="28"/>
          <w:lang w:val="en-US" w:eastAsia="zh-CN"/>
        </w:rPr>
        <w:t>1</w:t>
      </w:r>
      <w:r>
        <w:rPr>
          <w:rFonts w:hint="eastAsia" w:ascii="Times New Roman" w:hAnsi="Times New Roman" w:eastAsia="仿宋" w:cs="Times New Roman"/>
          <w:b/>
          <w:bCs/>
          <w:sz w:val="28"/>
          <w:szCs w:val="28"/>
          <w:lang w:eastAsia="zh-CN"/>
        </w:rPr>
        <w:t>）阿维菌素</w:t>
      </w:r>
    </w:p>
    <w:p w14:paraId="6535E96A">
      <w:pPr>
        <w:ind w:firstLine="560" w:firstLineChars="200"/>
        <w:rPr>
          <w:rFonts w:hint="eastAsia" w:ascii="仿宋" w:hAnsi="仿宋" w:eastAsia="仿宋" w:cs="仿宋"/>
          <w:b w:val="0"/>
          <w:bCs w:val="0"/>
          <w:sz w:val="28"/>
          <w:szCs w:val="32"/>
        </w:rPr>
      </w:pPr>
      <w:r>
        <w:rPr>
          <w:rFonts w:hint="eastAsia" w:ascii="仿宋" w:hAnsi="仿宋" w:eastAsia="仿宋" w:cs="仿宋"/>
          <w:b w:val="0"/>
          <w:bCs w:val="0"/>
          <w:sz w:val="28"/>
          <w:szCs w:val="32"/>
        </w:rPr>
        <w:t>阿维菌素对螨类和昆虫具有胃毒和触杀作用，不能杀卵。喷施叶表面的阿维菌素可迅速分解消散，但渗入植物薄壁组织的活性成分可较长时间地存在于植物组织中，并有传导作用，这种作用决定了它对害螨和植物组织内取食危害的昆虫的长残效性。作用机制与一般杀虫剂不同，阿维菌素是干扰神经生理活动，对节肢动物的神经传导有抑制作用。在土内被土壤吸附不会移动，并且被微生物分解，因而在环境中无累积作用，可以作为综合防治的一个组成部分。</w:t>
      </w:r>
      <w:r>
        <w:rPr>
          <w:rFonts w:hint="eastAsia" w:ascii="仿宋" w:hAnsi="仿宋" w:eastAsia="仿宋" w:cs="仿宋"/>
          <w:b w:val="0"/>
          <w:bCs w:val="0"/>
          <w:sz w:val="28"/>
          <w:szCs w:val="32"/>
          <w:lang w:val="en-US" w:eastAsia="zh-CN"/>
        </w:rPr>
        <w:t>黄瓜</w:t>
      </w:r>
      <w:r>
        <w:rPr>
          <w:rFonts w:hint="eastAsia" w:ascii="仿宋" w:hAnsi="仿宋" w:eastAsia="仿宋" w:cs="仿宋"/>
          <w:b w:val="0"/>
          <w:bCs w:val="0"/>
          <w:sz w:val="28"/>
          <w:szCs w:val="32"/>
        </w:rPr>
        <w:t>中阿维菌素超标的原因，可能是菜农对农药使用的安全间隔期不了解违规使用农药。食用阿维菌素超标的食品，可能引起四肢无力、肌肉震颤等症状，甚至还可能导致抽搐、昏迷等。</w:t>
      </w:r>
    </w:p>
    <w:p w14:paraId="53CB649F">
      <w:pPr>
        <w:ind w:firstLine="562" w:firstLineChars="200"/>
        <w:rPr>
          <w:rFonts w:hint="eastAsia" w:ascii="Times New Roman" w:hAnsi="Times New Roman" w:eastAsia="仿宋" w:cs="Times New Roman"/>
          <w:b/>
          <w:bCs/>
          <w:sz w:val="28"/>
          <w:szCs w:val="28"/>
          <w:lang w:eastAsia="zh-CN"/>
        </w:rPr>
      </w:pPr>
      <w:r>
        <w:rPr>
          <w:rFonts w:hint="eastAsia" w:ascii="Times New Roman" w:hAnsi="Times New Roman" w:eastAsia="仿宋" w:cs="Times New Roman"/>
          <w:b/>
          <w:bCs/>
          <w:sz w:val="28"/>
          <w:szCs w:val="28"/>
          <w:lang w:eastAsia="zh-CN"/>
        </w:rPr>
        <w:t>（</w:t>
      </w:r>
      <w:r>
        <w:rPr>
          <w:rFonts w:hint="eastAsia" w:ascii="Times New Roman" w:hAnsi="Times New Roman" w:eastAsia="仿宋" w:cs="Times New Roman"/>
          <w:b/>
          <w:bCs/>
          <w:sz w:val="28"/>
          <w:szCs w:val="28"/>
          <w:lang w:val="en-US" w:eastAsia="zh-CN"/>
        </w:rPr>
        <w:t>2</w:t>
      </w:r>
      <w:r>
        <w:rPr>
          <w:rFonts w:hint="eastAsia" w:ascii="Times New Roman" w:hAnsi="Times New Roman" w:eastAsia="仿宋" w:cs="Times New Roman"/>
          <w:b/>
          <w:bCs/>
          <w:sz w:val="28"/>
          <w:szCs w:val="28"/>
          <w:lang w:eastAsia="zh-CN"/>
        </w:rPr>
        <w:t>）毒死蜱</w:t>
      </w:r>
    </w:p>
    <w:p w14:paraId="2B1337BB">
      <w:pPr>
        <w:ind w:firstLine="560" w:firstLineChars="200"/>
        <w:rPr>
          <w:rFonts w:hint="eastAsia" w:ascii="Times New Roman" w:hAnsi="Times New Roman" w:eastAsia="仿宋" w:cs="Times New Roman"/>
          <w:b/>
          <w:bCs/>
          <w:sz w:val="28"/>
          <w:szCs w:val="28"/>
          <w:lang w:eastAsia="zh-CN"/>
        </w:rPr>
      </w:pPr>
      <w:r>
        <w:rPr>
          <w:rFonts w:hint="eastAsia" w:ascii="Times New Roman" w:hAnsi="Times New Roman" w:eastAsia="仿宋" w:cs="Times New Roman"/>
          <w:b w:val="0"/>
          <w:bCs w:val="0"/>
          <w:sz w:val="28"/>
          <w:szCs w:val="28"/>
          <w:lang w:eastAsia="zh-CN"/>
        </w:rPr>
        <w:t>毒死蜱又名氯吡硫磷，是一种硫代磷酸酯类有机磷杀虫、杀螨剂，具有良好的触杀、胃毒和熏蒸作用。毒死蜱在动物体内主要分布于血流量较高的器官，如肝脏、肾脏、脾脏等。有机磷类农药可抑制大脑胆碱酯酶活性，引发汗液和唾液分泌增加、瞳孔缩小、胃肠蠕动增加、腹泻、肌肉震颤等症状。《食品安全国家标准 食品中农药最大残留限量》（GB 2763—202</w:t>
      </w:r>
      <w:r>
        <w:rPr>
          <w:rFonts w:hint="eastAsia" w:ascii="Times New Roman" w:hAnsi="Times New Roman" w:eastAsia="仿宋" w:cs="Times New Roman"/>
          <w:b w:val="0"/>
          <w:bCs w:val="0"/>
          <w:sz w:val="28"/>
          <w:szCs w:val="28"/>
          <w:lang w:val="en-US" w:eastAsia="zh-CN"/>
        </w:rPr>
        <w:t>6</w:t>
      </w:r>
      <w:r>
        <w:rPr>
          <w:rFonts w:hint="eastAsia" w:ascii="Times New Roman" w:hAnsi="Times New Roman" w:eastAsia="仿宋" w:cs="Times New Roman"/>
          <w:b w:val="0"/>
          <w:bCs w:val="0"/>
          <w:sz w:val="28"/>
          <w:szCs w:val="28"/>
          <w:lang w:eastAsia="zh-CN"/>
        </w:rPr>
        <w:t>）中规定，毒死蜱在</w:t>
      </w:r>
      <w:r>
        <w:rPr>
          <w:rFonts w:hint="eastAsia" w:ascii="Times New Roman" w:hAnsi="Times New Roman" w:eastAsia="仿宋" w:cs="Times New Roman"/>
          <w:b w:val="0"/>
          <w:bCs w:val="0"/>
          <w:sz w:val="28"/>
          <w:szCs w:val="28"/>
          <w:lang w:val="en-US" w:eastAsia="zh-CN"/>
        </w:rPr>
        <w:t>马铃薯</w:t>
      </w:r>
      <w:r>
        <w:rPr>
          <w:rFonts w:hint="eastAsia" w:ascii="Times New Roman" w:hAnsi="Times New Roman" w:eastAsia="仿宋" w:cs="Times New Roman"/>
          <w:b w:val="0"/>
          <w:bCs w:val="0"/>
          <w:sz w:val="28"/>
          <w:szCs w:val="28"/>
          <w:lang w:eastAsia="zh-CN"/>
        </w:rPr>
        <w:t>中的最大残留限量值为</w:t>
      </w:r>
      <w:r>
        <w:rPr>
          <w:rFonts w:hint="eastAsia" w:ascii="Times New Roman" w:hAnsi="Times New Roman" w:eastAsia="仿宋" w:cs="Times New Roman"/>
          <w:b w:val="0"/>
          <w:bCs w:val="0"/>
          <w:sz w:val="28"/>
          <w:szCs w:val="28"/>
          <w:lang w:val="en-US" w:eastAsia="zh-CN"/>
        </w:rPr>
        <w:t>0.02</w:t>
      </w:r>
      <w:r>
        <w:rPr>
          <w:rFonts w:hint="eastAsia" w:ascii="Times New Roman" w:hAnsi="Times New Roman" w:eastAsia="仿宋" w:cs="Times New Roman"/>
          <w:b w:val="0"/>
          <w:bCs w:val="0"/>
          <w:sz w:val="28"/>
          <w:szCs w:val="28"/>
          <w:lang w:eastAsia="zh-CN"/>
        </w:rPr>
        <w:t>mg/kg</w:t>
      </w:r>
      <w:r>
        <w:rPr>
          <w:rFonts w:hint="eastAsia" w:ascii="Times New Roman" w:hAnsi="Times New Roman" w:eastAsia="仿宋" w:cs="Times New Roman"/>
          <w:sz w:val="28"/>
          <w:szCs w:val="18"/>
          <w:lang w:eastAsia="zh-CN"/>
        </w:rPr>
        <w:t>，</w:t>
      </w:r>
      <w:r>
        <w:rPr>
          <w:rFonts w:hint="eastAsia" w:ascii="Times New Roman" w:hAnsi="Times New Roman" w:eastAsia="仿宋" w:cs="Times New Roman"/>
          <w:color w:val="000000"/>
          <w:kern w:val="0"/>
          <w:sz w:val="28"/>
          <w:szCs w:val="28"/>
        </w:rPr>
        <w:t>而本次抽检中1批次</w:t>
      </w:r>
      <w:r>
        <w:rPr>
          <w:rFonts w:hint="eastAsia" w:ascii="Times New Roman" w:hAnsi="Times New Roman" w:eastAsia="仿宋" w:cs="Times New Roman"/>
          <w:color w:val="000000"/>
          <w:kern w:val="0"/>
          <w:sz w:val="28"/>
          <w:szCs w:val="28"/>
          <w:lang w:val="en-US" w:eastAsia="zh-CN"/>
        </w:rPr>
        <w:t>马铃薯</w:t>
      </w:r>
      <w:r>
        <w:rPr>
          <w:rFonts w:hint="eastAsia" w:ascii="Times New Roman" w:hAnsi="Times New Roman" w:eastAsia="仿宋" w:cs="Times New Roman"/>
          <w:color w:val="000000"/>
          <w:kern w:val="0"/>
          <w:sz w:val="28"/>
          <w:szCs w:val="28"/>
          <w:lang w:eastAsia="zh-CN"/>
        </w:rPr>
        <w:t>中</w:t>
      </w:r>
      <w:r>
        <w:rPr>
          <w:rFonts w:hint="eastAsia" w:ascii="Times New Roman" w:hAnsi="Times New Roman" w:eastAsia="仿宋" w:cs="Times New Roman"/>
          <w:b w:val="0"/>
          <w:bCs w:val="0"/>
          <w:sz w:val="28"/>
          <w:szCs w:val="28"/>
          <w:lang w:eastAsia="zh-CN"/>
        </w:rPr>
        <w:t>毒死蜱</w:t>
      </w:r>
      <w:r>
        <w:rPr>
          <w:rFonts w:hint="eastAsia" w:ascii="Times New Roman" w:hAnsi="Times New Roman" w:eastAsia="仿宋" w:cs="Times New Roman"/>
          <w:color w:val="000000"/>
          <w:kern w:val="0"/>
          <w:sz w:val="28"/>
          <w:szCs w:val="28"/>
        </w:rPr>
        <w:t>的检出值为</w:t>
      </w:r>
      <w:r>
        <w:rPr>
          <w:rFonts w:ascii="Times New Roman" w:hAnsi="Times New Roman" w:eastAsia="仿宋" w:cs="Times New Roman"/>
          <w:color w:val="000000"/>
          <w:kern w:val="0"/>
          <w:sz w:val="28"/>
          <w:szCs w:val="28"/>
        </w:rPr>
        <w:t>0.</w:t>
      </w:r>
      <w:r>
        <w:rPr>
          <w:rFonts w:hint="eastAsia" w:ascii="Times New Roman" w:hAnsi="Times New Roman" w:eastAsia="仿宋" w:cs="Times New Roman"/>
          <w:color w:val="000000"/>
          <w:kern w:val="0"/>
          <w:sz w:val="28"/>
          <w:szCs w:val="28"/>
          <w:lang w:val="en-US" w:eastAsia="zh-CN"/>
        </w:rPr>
        <w:t>12</w:t>
      </w:r>
      <w:r>
        <w:rPr>
          <w:rFonts w:hint="eastAsia" w:ascii="Times New Roman" w:hAnsi="Times New Roman" w:eastAsia="仿宋" w:cs="Times New Roman"/>
          <w:color w:val="000000"/>
          <w:kern w:val="0"/>
          <w:sz w:val="28"/>
          <w:szCs w:val="28"/>
        </w:rPr>
        <w:t>mg/kg</w:t>
      </w:r>
      <w:r>
        <w:rPr>
          <w:rFonts w:hint="eastAsia" w:ascii="Times New Roman" w:hAnsi="Times New Roman" w:eastAsia="仿宋" w:cs="Times New Roman"/>
          <w:sz w:val="28"/>
          <w:szCs w:val="18"/>
        </w:rPr>
        <w:t>。</w:t>
      </w:r>
    </w:p>
    <w:p w14:paraId="0EAC0DAF">
      <w:pPr>
        <w:ind w:firstLine="562" w:firstLineChars="200"/>
        <w:rPr>
          <w:rFonts w:hint="eastAsia" w:ascii="Times New Roman" w:hAnsi="Times New Roman" w:eastAsia="仿宋" w:cs="Times New Roman"/>
          <w:sz w:val="28"/>
          <w:szCs w:val="28"/>
          <w:lang w:eastAsia="zh-CN"/>
        </w:rPr>
      </w:pPr>
      <w:r>
        <w:rPr>
          <w:rFonts w:hint="eastAsia" w:ascii="Times New Roman" w:hAnsi="Times New Roman" w:eastAsia="仿宋" w:cs="Times New Roman"/>
          <w:b/>
          <w:bCs/>
          <w:sz w:val="28"/>
          <w:szCs w:val="28"/>
          <w:lang w:eastAsia="zh-CN"/>
        </w:rPr>
        <w:t>（</w:t>
      </w:r>
      <w:r>
        <w:rPr>
          <w:rFonts w:hint="eastAsia" w:ascii="Times New Roman" w:hAnsi="Times New Roman" w:eastAsia="仿宋" w:cs="Times New Roman"/>
          <w:b/>
          <w:bCs/>
          <w:sz w:val="28"/>
          <w:szCs w:val="28"/>
          <w:lang w:val="en-US" w:eastAsia="zh-CN"/>
        </w:rPr>
        <w:t>3</w:t>
      </w:r>
      <w:r>
        <w:rPr>
          <w:rFonts w:hint="eastAsia" w:ascii="Times New Roman" w:hAnsi="Times New Roman" w:eastAsia="仿宋" w:cs="Times New Roman"/>
          <w:b/>
          <w:bCs/>
          <w:sz w:val="28"/>
          <w:szCs w:val="28"/>
          <w:lang w:eastAsia="zh-CN"/>
        </w:rPr>
        <w:t>）</w:t>
      </w:r>
      <w:r>
        <w:rPr>
          <w:rFonts w:hint="eastAsia" w:ascii="Times New Roman" w:hAnsi="Times New Roman" w:eastAsia="仿宋" w:cs="Times New Roman"/>
          <w:b/>
          <w:bCs/>
          <w:sz w:val="28"/>
          <w:szCs w:val="18"/>
        </w:rPr>
        <w:t>噻虫嗪</w:t>
      </w:r>
    </w:p>
    <w:p w14:paraId="5AD0ABEB">
      <w:pPr>
        <w:pStyle w:val="12"/>
        <w:tabs>
          <w:tab w:val="left" w:pos="-200"/>
        </w:tabs>
        <w:ind w:left="0" w:firstLine="562"/>
        <w:rPr>
          <w:rFonts w:ascii="Times New Roman" w:hAnsi="Times New Roman" w:cs="Times New Roman"/>
        </w:rPr>
      </w:pPr>
      <w:r>
        <w:rPr>
          <w:rFonts w:hint="eastAsia" w:ascii="Times New Roman" w:hAnsi="Times New Roman" w:eastAsia="仿宋" w:cs="Times New Roman"/>
          <w:b w:val="0"/>
          <w:bCs w:val="0"/>
          <w:sz w:val="28"/>
          <w:szCs w:val="18"/>
        </w:rPr>
        <w:t>噻虫嗪是新烟碱类杀虫剂，具有杀虫谱广，活性高，传导性强，毒性低等特点，既可以叶面喷雾，也可以进行种子处理、灌根和土壤处理，施药后能迅速被植株的根、茎、叶吸收，并传导到植株的各部位，达到快速杀虫的目的</w:t>
      </w:r>
      <w:r>
        <w:rPr>
          <w:rFonts w:hint="eastAsia" w:ascii="Times New Roman" w:hAnsi="Times New Roman" w:eastAsia="仿宋" w:cs="Times New Roman"/>
          <w:sz w:val="28"/>
          <w:szCs w:val="18"/>
        </w:rPr>
        <w:t>。《食品安全国家标准 食品中农药最大残留限量》（GB 2763—</w:t>
      </w:r>
      <w:r>
        <w:rPr>
          <w:rFonts w:hint="eastAsia" w:ascii="Times New Roman" w:hAnsi="Times New Roman" w:eastAsia="仿宋" w:cs="Times New Roman"/>
          <w:sz w:val="28"/>
          <w:szCs w:val="18"/>
          <w:lang w:val="en-US" w:eastAsia="zh-CN"/>
        </w:rPr>
        <w:t>2026</w:t>
      </w:r>
      <w:r>
        <w:rPr>
          <w:rFonts w:hint="eastAsia" w:ascii="Times New Roman" w:hAnsi="Times New Roman" w:eastAsia="仿宋" w:cs="Times New Roman"/>
          <w:sz w:val="28"/>
          <w:szCs w:val="18"/>
        </w:rPr>
        <w:t>）中规定，</w:t>
      </w:r>
      <w:r>
        <w:rPr>
          <w:rFonts w:hint="eastAsia" w:ascii="Times New Roman" w:hAnsi="Times New Roman" w:eastAsia="仿宋" w:cs="Times New Roman"/>
          <w:b w:val="0"/>
          <w:bCs w:val="0"/>
          <w:sz w:val="28"/>
          <w:szCs w:val="18"/>
        </w:rPr>
        <w:t>噻虫嗪</w:t>
      </w:r>
      <w:r>
        <w:rPr>
          <w:rFonts w:hint="eastAsia" w:ascii="Times New Roman" w:hAnsi="Times New Roman" w:eastAsia="仿宋" w:cs="Times New Roman"/>
          <w:sz w:val="28"/>
          <w:szCs w:val="18"/>
        </w:rPr>
        <w:t>在</w:t>
      </w:r>
      <w:r>
        <w:rPr>
          <w:rFonts w:hint="eastAsia" w:ascii="Times New Roman" w:hAnsi="Times New Roman" w:eastAsia="仿宋" w:cs="Times New Roman"/>
          <w:sz w:val="28"/>
          <w:szCs w:val="18"/>
          <w:lang w:val="en-US" w:eastAsia="zh-CN"/>
        </w:rPr>
        <w:t>马铃薯</w:t>
      </w:r>
      <w:r>
        <w:rPr>
          <w:rFonts w:hint="eastAsia" w:ascii="Times New Roman" w:hAnsi="Times New Roman" w:eastAsia="仿宋" w:cs="Times New Roman"/>
          <w:sz w:val="28"/>
          <w:szCs w:val="18"/>
        </w:rPr>
        <w:t>中的最大残留限量为0.</w:t>
      </w:r>
      <w:r>
        <w:rPr>
          <w:rFonts w:hint="eastAsia" w:ascii="Times New Roman" w:hAnsi="Times New Roman" w:eastAsia="仿宋" w:cs="Times New Roman"/>
          <w:sz w:val="28"/>
          <w:szCs w:val="18"/>
          <w:lang w:val="en-US" w:eastAsia="zh-CN"/>
        </w:rPr>
        <w:t>2</w:t>
      </w:r>
      <w:r>
        <w:rPr>
          <w:rFonts w:hint="eastAsia" w:ascii="Times New Roman" w:hAnsi="Times New Roman" w:eastAsia="仿宋" w:cs="Times New Roman"/>
          <w:sz w:val="28"/>
          <w:szCs w:val="18"/>
        </w:rPr>
        <w:t>mg/kg</w:t>
      </w:r>
      <w:r>
        <w:rPr>
          <w:rFonts w:hint="eastAsia" w:ascii="Times New Roman" w:hAnsi="Times New Roman" w:eastAsia="仿宋" w:cs="Times New Roman"/>
          <w:sz w:val="28"/>
          <w:szCs w:val="18"/>
          <w:lang w:eastAsia="zh-CN"/>
        </w:rPr>
        <w:t>，</w:t>
      </w:r>
      <w:r>
        <w:rPr>
          <w:rFonts w:hint="eastAsia" w:ascii="Times New Roman" w:hAnsi="Times New Roman" w:eastAsia="仿宋" w:cs="Times New Roman"/>
          <w:color w:val="000000"/>
          <w:kern w:val="0"/>
          <w:sz w:val="28"/>
          <w:szCs w:val="28"/>
        </w:rPr>
        <w:t>而本次抽检中1批次</w:t>
      </w:r>
      <w:r>
        <w:rPr>
          <w:rFonts w:hint="eastAsia" w:ascii="Times New Roman" w:hAnsi="Times New Roman" w:eastAsia="仿宋" w:cs="Times New Roman"/>
          <w:sz w:val="28"/>
          <w:szCs w:val="18"/>
          <w:lang w:val="en-US" w:eastAsia="zh-CN"/>
        </w:rPr>
        <w:t>马铃薯</w:t>
      </w:r>
      <w:r>
        <w:rPr>
          <w:rFonts w:hint="eastAsia" w:ascii="Times New Roman" w:hAnsi="Times New Roman" w:eastAsia="仿宋" w:cs="Times New Roman"/>
          <w:color w:val="000000"/>
          <w:kern w:val="0"/>
          <w:sz w:val="28"/>
          <w:szCs w:val="28"/>
          <w:lang w:eastAsia="zh-CN"/>
        </w:rPr>
        <w:t>中</w:t>
      </w:r>
      <w:r>
        <w:rPr>
          <w:rFonts w:hint="eastAsia" w:ascii="Times New Roman" w:hAnsi="Times New Roman" w:eastAsia="仿宋" w:cs="Times New Roman"/>
          <w:b w:val="0"/>
          <w:bCs w:val="0"/>
          <w:sz w:val="28"/>
          <w:szCs w:val="18"/>
        </w:rPr>
        <w:t>噻虫嗪</w:t>
      </w:r>
      <w:r>
        <w:rPr>
          <w:rFonts w:hint="eastAsia" w:ascii="Times New Roman" w:hAnsi="Times New Roman" w:eastAsia="仿宋" w:cs="Times New Roman"/>
          <w:color w:val="000000"/>
          <w:kern w:val="0"/>
          <w:sz w:val="28"/>
          <w:szCs w:val="28"/>
        </w:rPr>
        <w:t>的检出值为</w:t>
      </w:r>
      <w:r>
        <w:rPr>
          <w:rFonts w:hint="eastAsia" w:ascii="Times New Roman" w:hAnsi="Times New Roman" w:eastAsia="仿宋" w:cs="Times New Roman"/>
          <w:color w:val="000000"/>
          <w:kern w:val="0"/>
          <w:sz w:val="28"/>
          <w:szCs w:val="28"/>
          <w:lang w:val="en-US" w:eastAsia="zh-CN"/>
        </w:rPr>
        <w:t>1.53</w:t>
      </w:r>
      <w:r>
        <w:rPr>
          <w:rFonts w:hint="eastAsia" w:ascii="Times New Roman" w:hAnsi="Times New Roman" w:eastAsia="仿宋" w:cs="Times New Roman"/>
          <w:color w:val="000000"/>
          <w:kern w:val="0"/>
          <w:sz w:val="28"/>
          <w:szCs w:val="28"/>
        </w:rPr>
        <w:t>mg/kg</w:t>
      </w:r>
      <w:r>
        <w:rPr>
          <w:rFonts w:hint="eastAsia" w:ascii="Times New Roman" w:hAnsi="Times New Roman" w:eastAsia="仿宋" w:cs="Times New Roman"/>
          <w:color w:val="000000"/>
          <w:kern w:val="0"/>
          <w:sz w:val="28"/>
          <w:szCs w:val="28"/>
          <w:lang w:eastAsia="zh-CN"/>
        </w:rPr>
        <w:t>；</w:t>
      </w:r>
      <w:r>
        <w:rPr>
          <w:rFonts w:hint="eastAsia" w:ascii="Times New Roman" w:hAnsi="Times New Roman" w:eastAsia="仿宋" w:cs="Times New Roman"/>
          <w:b w:val="0"/>
          <w:bCs w:val="0"/>
          <w:sz w:val="28"/>
          <w:szCs w:val="18"/>
        </w:rPr>
        <w:t>噻虫嗪</w:t>
      </w:r>
      <w:r>
        <w:rPr>
          <w:rFonts w:hint="eastAsia" w:ascii="Times New Roman" w:hAnsi="Times New Roman" w:eastAsia="仿宋" w:cs="Times New Roman"/>
          <w:sz w:val="28"/>
          <w:szCs w:val="18"/>
        </w:rPr>
        <w:t>在</w:t>
      </w:r>
      <w:r>
        <w:rPr>
          <w:rFonts w:hint="eastAsia" w:ascii="Times New Roman" w:hAnsi="Times New Roman" w:eastAsia="仿宋" w:cs="Times New Roman"/>
          <w:sz w:val="28"/>
          <w:szCs w:val="18"/>
          <w:lang w:val="en-US" w:eastAsia="zh-CN"/>
        </w:rPr>
        <w:t>葱</w:t>
      </w:r>
      <w:r>
        <w:rPr>
          <w:rFonts w:hint="eastAsia" w:ascii="Times New Roman" w:hAnsi="Times New Roman" w:eastAsia="仿宋" w:cs="Times New Roman"/>
          <w:sz w:val="28"/>
          <w:szCs w:val="18"/>
        </w:rPr>
        <w:t>中的最大残留限量为0.</w:t>
      </w:r>
      <w:r>
        <w:rPr>
          <w:rFonts w:hint="eastAsia" w:ascii="Times New Roman" w:hAnsi="Times New Roman" w:eastAsia="仿宋" w:cs="Times New Roman"/>
          <w:sz w:val="28"/>
          <w:szCs w:val="18"/>
          <w:lang w:val="en-US" w:eastAsia="zh-CN"/>
        </w:rPr>
        <w:t>3</w:t>
      </w:r>
      <w:r>
        <w:rPr>
          <w:rFonts w:hint="eastAsia" w:ascii="Times New Roman" w:hAnsi="Times New Roman" w:eastAsia="仿宋" w:cs="Times New Roman"/>
          <w:sz w:val="28"/>
          <w:szCs w:val="18"/>
        </w:rPr>
        <w:t>mg/kg</w:t>
      </w:r>
      <w:r>
        <w:rPr>
          <w:rFonts w:hint="eastAsia" w:ascii="Times New Roman" w:hAnsi="Times New Roman" w:eastAsia="仿宋" w:cs="Times New Roman"/>
          <w:sz w:val="28"/>
          <w:szCs w:val="18"/>
          <w:lang w:eastAsia="zh-CN"/>
        </w:rPr>
        <w:t>，</w:t>
      </w:r>
      <w:r>
        <w:rPr>
          <w:rFonts w:hint="eastAsia" w:ascii="Times New Roman" w:hAnsi="Times New Roman" w:eastAsia="仿宋" w:cs="Times New Roman"/>
          <w:color w:val="000000"/>
          <w:kern w:val="0"/>
          <w:sz w:val="28"/>
          <w:szCs w:val="28"/>
        </w:rPr>
        <w:t>而本次抽检中</w:t>
      </w:r>
      <w:r>
        <w:rPr>
          <w:rFonts w:hint="eastAsia" w:ascii="Times New Roman" w:hAnsi="Times New Roman" w:eastAsia="仿宋" w:cs="Times New Roman"/>
          <w:color w:val="000000"/>
          <w:kern w:val="0"/>
          <w:sz w:val="28"/>
          <w:szCs w:val="28"/>
          <w:lang w:val="en-US" w:eastAsia="zh-CN"/>
        </w:rPr>
        <w:t>2</w:t>
      </w:r>
      <w:r>
        <w:rPr>
          <w:rFonts w:hint="eastAsia" w:ascii="Times New Roman" w:hAnsi="Times New Roman" w:eastAsia="仿宋" w:cs="Times New Roman"/>
          <w:color w:val="000000"/>
          <w:kern w:val="0"/>
          <w:sz w:val="28"/>
          <w:szCs w:val="28"/>
        </w:rPr>
        <w:t>批次</w:t>
      </w:r>
      <w:r>
        <w:rPr>
          <w:rFonts w:hint="eastAsia" w:ascii="Times New Roman" w:hAnsi="Times New Roman" w:eastAsia="仿宋" w:cs="Times New Roman"/>
          <w:sz w:val="28"/>
          <w:szCs w:val="18"/>
          <w:lang w:val="en-US" w:eastAsia="zh-CN"/>
        </w:rPr>
        <w:t>葱</w:t>
      </w:r>
      <w:r>
        <w:rPr>
          <w:rFonts w:hint="eastAsia" w:ascii="Times New Roman" w:hAnsi="Times New Roman" w:eastAsia="仿宋" w:cs="Times New Roman"/>
          <w:color w:val="000000"/>
          <w:kern w:val="0"/>
          <w:sz w:val="28"/>
          <w:szCs w:val="28"/>
          <w:lang w:eastAsia="zh-CN"/>
        </w:rPr>
        <w:t>中</w:t>
      </w:r>
      <w:r>
        <w:rPr>
          <w:rFonts w:hint="eastAsia" w:ascii="Times New Roman" w:hAnsi="Times New Roman" w:eastAsia="仿宋" w:cs="Times New Roman"/>
          <w:b w:val="0"/>
          <w:bCs w:val="0"/>
          <w:sz w:val="28"/>
          <w:szCs w:val="18"/>
        </w:rPr>
        <w:t>噻虫嗪</w:t>
      </w:r>
      <w:r>
        <w:rPr>
          <w:rFonts w:hint="eastAsia" w:ascii="Times New Roman" w:hAnsi="Times New Roman" w:eastAsia="仿宋" w:cs="Times New Roman"/>
          <w:color w:val="000000"/>
          <w:kern w:val="0"/>
          <w:sz w:val="28"/>
          <w:szCs w:val="28"/>
        </w:rPr>
        <w:t>的检出值</w:t>
      </w:r>
      <w:r>
        <w:rPr>
          <w:rFonts w:hint="eastAsia" w:ascii="Times New Roman" w:hAnsi="Times New Roman" w:eastAsia="仿宋" w:cs="Times New Roman"/>
          <w:color w:val="000000"/>
          <w:kern w:val="0"/>
          <w:sz w:val="28"/>
          <w:szCs w:val="28"/>
          <w:lang w:val="en-US" w:eastAsia="zh-CN"/>
        </w:rPr>
        <w:t>分别</w:t>
      </w:r>
      <w:r>
        <w:rPr>
          <w:rFonts w:hint="eastAsia" w:ascii="Times New Roman" w:hAnsi="Times New Roman" w:eastAsia="仿宋" w:cs="Times New Roman"/>
          <w:color w:val="000000"/>
          <w:kern w:val="0"/>
          <w:sz w:val="28"/>
          <w:szCs w:val="28"/>
        </w:rPr>
        <w:t>为</w:t>
      </w:r>
      <w:r>
        <w:rPr>
          <w:rFonts w:hint="eastAsia" w:ascii="Times New Roman" w:hAnsi="Times New Roman" w:eastAsia="仿宋" w:cs="Times New Roman"/>
          <w:color w:val="000000"/>
          <w:kern w:val="0"/>
          <w:sz w:val="28"/>
          <w:szCs w:val="28"/>
          <w:lang w:val="en-US" w:eastAsia="zh-CN"/>
        </w:rPr>
        <w:t>0.64</w:t>
      </w:r>
      <w:r>
        <w:rPr>
          <w:rFonts w:hint="eastAsia" w:ascii="Times New Roman" w:hAnsi="Times New Roman" w:eastAsia="仿宋" w:cs="Times New Roman"/>
          <w:color w:val="000000"/>
          <w:kern w:val="0"/>
          <w:sz w:val="28"/>
          <w:szCs w:val="28"/>
        </w:rPr>
        <w:t>mg/kg</w:t>
      </w:r>
      <w:r>
        <w:rPr>
          <w:rFonts w:hint="eastAsia" w:ascii="Times New Roman" w:hAnsi="Times New Roman" w:eastAsia="仿宋" w:cs="Times New Roman"/>
          <w:color w:val="000000"/>
          <w:kern w:val="0"/>
          <w:sz w:val="28"/>
          <w:szCs w:val="28"/>
          <w:lang w:val="en-US" w:eastAsia="zh-CN"/>
        </w:rPr>
        <w:t>和6.01mg/kg</w:t>
      </w:r>
      <w:r>
        <w:rPr>
          <w:rFonts w:hint="eastAsia" w:ascii="Times New Roman" w:hAnsi="Times New Roman" w:eastAsia="仿宋" w:cs="Times New Roman"/>
          <w:sz w:val="28"/>
          <w:szCs w:val="18"/>
        </w:rPr>
        <w:t>。</w:t>
      </w:r>
    </w:p>
    <w:p w14:paraId="40904868">
      <w:pPr>
        <w:spacing w:line="360" w:lineRule="auto"/>
        <w:ind w:firstLine="562" w:firstLineChars="200"/>
        <w:rPr>
          <w:rFonts w:hint="eastAsia" w:ascii="Times New Roman" w:hAnsi="Times New Roman" w:eastAsia="仿宋" w:cs="Times New Roman"/>
          <w:b/>
          <w:bCs/>
          <w:color w:val="000000"/>
          <w:kern w:val="0"/>
          <w:sz w:val="28"/>
          <w:szCs w:val="28"/>
          <w:lang w:eastAsia="zh-CN"/>
        </w:rPr>
      </w:pPr>
      <w:r>
        <w:rPr>
          <w:rFonts w:hint="eastAsia" w:ascii="Times New Roman" w:hAnsi="Times New Roman" w:eastAsia="仿宋" w:cs="Times New Roman"/>
          <w:b/>
          <w:bCs/>
          <w:sz w:val="28"/>
          <w:szCs w:val="28"/>
          <w:lang w:eastAsia="zh-CN"/>
        </w:rPr>
        <w:t>（</w:t>
      </w:r>
      <w:r>
        <w:rPr>
          <w:rFonts w:hint="eastAsia" w:ascii="Times New Roman" w:hAnsi="Times New Roman" w:eastAsia="仿宋" w:cs="Times New Roman"/>
          <w:b/>
          <w:bCs/>
          <w:sz w:val="28"/>
          <w:szCs w:val="28"/>
          <w:lang w:val="en-US" w:eastAsia="zh-CN"/>
        </w:rPr>
        <w:t>4</w:t>
      </w:r>
      <w:r>
        <w:rPr>
          <w:rFonts w:hint="eastAsia" w:ascii="Times New Roman" w:hAnsi="Times New Roman" w:eastAsia="仿宋" w:cs="Times New Roman"/>
          <w:b/>
          <w:bCs/>
          <w:sz w:val="28"/>
          <w:szCs w:val="28"/>
          <w:lang w:eastAsia="zh-CN"/>
        </w:rPr>
        <w:t>）</w:t>
      </w:r>
      <w:r>
        <w:rPr>
          <w:rFonts w:hint="eastAsia" w:ascii="Times New Roman" w:hAnsi="Times New Roman" w:eastAsia="仿宋" w:cs="Times New Roman"/>
          <w:b/>
          <w:bCs/>
          <w:color w:val="000000"/>
          <w:kern w:val="0"/>
          <w:sz w:val="28"/>
          <w:szCs w:val="28"/>
          <w:lang w:eastAsia="zh-CN"/>
        </w:rPr>
        <w:t>噻虫胺</w:t>
      </w:r>
    </w:p>
    <w:p w14:paraId="4F4EC2C5">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b w:val="0"/>
          <w:bCs w:val="0"/>
          <w:color w:val="000000"/>
          <w:kern w:val="0"/>
          <w:sz w:val="28"/>
          <w:szCs w:val="28"/>
        </w:rPr>
        <w:t>噻虫胺，</w:t>
      </w:r>
      <w:r>
        <w:rPr>
          <w:rFonts w:hint="eastAsia" w:ascii="Times New Roman" w:hAnsi="Times New Roman" w:eastAsia="仿宋" w:cs="Times New Roman"/>
          <w:color w:val="000000"/>
          <w:kern w:val="0"/>
          <w:sz w:val="28"/>
          <w:szCs w:val="28"/>
        </w:rPr>
        <w:t>具有根内吸活性和层间传导性。</w:t>
      </w:r>
      <w:r>
        <w:rPr>
          <w:rFonts w:hint="eastAsia" w:ascii="Times New Roman" w:hAnsi="Times New Roman" w:eastAsia="仿宋" w:cs="Times New Roman"/>
          <w:color w:val="000000"/>
          <w:kern w:val="0"/>
          <w:sz w:val="28"/>
          <w:szCs w:val="28"/>
          <w:lang w:eastAsia="zh-CN"/>
        </w:rPr>
        <w:t>可通过</w:t>
      </w:r>
      <w:r>
        <w:rPr>
          <w:rFonts w:hint="eastAsia" w:ascii="Times New Roman" w:hAnsi="Times New Roman" w:eastAsia="仿宋" w:cs="Times New Roman"/>
          <w:color w:val="000000"/>
          <w:kern w:val="0"/>
          <w:sz w:val="28"/>
          <w:szCs w:val="28"/>
        </w:rPr>
        <w:t>土壤处理、叶面喷施和种子处理</w:t>
      </w:r>
      <w:r>
        <w:rPr>
          <w:rFonts w:hint="eastAsia" w:ascii="Times New Roman" w:hAnsi="Times New Roman" w:eastAsia="仿宋" w:cs="Times New Roman"/>
          <w:color w:val="000000"/>
          <w:kern w:val="0"/>
          <w:sz w:val="28"/>
          <w:szCs w:val="28"/>
          <w:lang w:eastAsia="zh-CN"/>
        </w:rPr>
        <w:t>来</w:t>
      </w:r>
      <w:r>
        <w:rPr>
          <w:rFonts w:hint="eastAsia" w:ascii="Times New Roman" w:hAnsi="Times New Roman" w:eastAsia="仿宋" w:cs="Times New Roman"/>
          <w:color w:val="000000"/>
          <w:kern w:val="0"/>
          <w:sz w:val="28"/>
          <w:szCs w:val="28"/>
        </w:rPr>
        <w:t>防治水稻、玉米、油菜、果树和蔬菜、柑橘的刺吸式和咀嚼式害虫</w:t>
      </w:r>
      <w:r>
        <w:rPr>
          <w:rFonts w:hint="eastAsia" w:ascii="Times New Roman" w:hAnsi="Times New Roman" w:eastAsia="仿宋" w:cs="Times New Roman"/>
          <w:color w:val="000000"/>
          <w:kern w:val="0"/>
          <w:sz w:val="28"/>
          <w:szCs w:val="28"/>
          <w:lang w:eastAsia="zh-CN"/>
        </w:rPr>
        <w:t>。</w:t>
      </w:r>
      <w:r>
        <w:rPr>
          <w:rFonts w:hint="eastAsia" w:ascii="Times New Roman" w:hAnsi="Times New Roman" w:eastAsia="仿宋" w:cs="Times New Roman"/>
          <w:color w:val="000000"/>
          <w:kern w:val="0"/>
          <w:sz w:val="28"/>
          <w:szCs w:val="28"/>
        </w:rPr>
        <w:t>少量的残留不会引起人体急性中毒，但长期食用</w:t>
      </w:r>
      <w:r>
        <w:rPr>
          <w:rFonts w:hint="eastAsia" w:ascii="Times New Roman" w:hAnsi="Times New Roman" w:eastAsia="仿宋" w:cs="Times New Roman"/>
          <w:color w:val="000000"/>
          <w:kern w:val="0"/>
          <w:sz w:val="28"/>
          <w:szCs w:val="28"/>
          <w:lang w:val="en-US" w:eastAsia="zh-CN"/>
        </w:rPr>
        <w:t>噻虫胺</w:t>
      </w:r>
      <w:r>
        <w:rPr>
          <w:rFonts w:hint="eastAsia" w:ascii="Times New Roman" w:hAnsi="Times New Roman" w:eastAsia="仿宋" w:cs="Times New Roman"/>
          <w:color w:val="000000"/>
          <w:kern w:val="0"/>
          <w:sz w:val="28"/>
          <w:szCs w:val="28"/>
        </w:rPr>
        <w:t>超标的食品，可能对人体健康有一定影响</w:t>
      </w:r>
      <w:r>
        <w:rPr>
          <w:rFonts w:hint="eastAsia" w:ascii="Times New Roman" w:hAnsi="Times New Roman" w:eastAsia="仿宋" w:cs="Times New Roman"/>
          <w:color w:val="000000"/>
          <w:kern w:val="0"/>
          <w:sz w:val="28"/>
          <w:szCs w:val="28"/>
          <w:lang w:eastAsia="zh-CN"/>
        </w:rPr>
        <w:t>。</w:t>
      </w:r>
      <w:r>
        <w:rPr>
          <w:rFonts w:hint="eastAsia" w:ascii="Times New Roman" w:hAnsi="Times New Roman" w:eastAsia="仿宋" w:cs="Times New Roman"/>
          <w:color w:val="000000"/>
          <w:kern w:val="0"/>
          <w:sz w:val="28"/>
          <w:szCs w:val="28"/>
        </w:rPr>
        <w:t>《食品安全国家标准 食品中农药最大残留限量》（GB 2763—</w:t>
      </w:r>
      <w:r>
        <w:rPr>
          <w:rFonts w:hint="eastAsia" w:ascii="Times New Roman" w:hAnsi="Times New Roman" w:eastAsia="仿宋" w:cs="Times New Roman"/>
          <w:color w:val="000000"/>
          <w:kern w:val="0"/>
          <w:sz w:val="28"/>
          <w:szCs w:val="28"/>
          <w:lang w:val="en-US" w:eastAsia="zh-CN"/>
        </w:rPr>
        <w:t>2026</w:t>
      </w:r>
      <w:r>
        <w:rPr>
          <w:rFonts w:hint="eastAsia" w:ascii="Times New Roman" w:hAnsi="Times New Roman" w:eastAsia="仿宋" w:cs="Times New Roman"/>
          <w:color w:val="000000"/>
          <w:kern w:val="0"/>
          <w:sz w:val="28"/>
          <w:szCs w:val="28"/>
        </w:rPr>
        <w:t>）中规定，噻虫胺在</w:t>
      </w:r>
      <w:r>
        <w:rPr>
          <w:rFonts w:hint="eastAsia" w:ascii="Times New Roman" w:hAnsi="Times New Roman" w:eastAsia="仿宋" w:cs="Times New Roman"/>
          <w:color w:val="000000"/>
          <w:kern w:val="0"/>
          <w:sz w:val="28"/>
          <w:szCs w:val="28"/>
          <w:lang w:eastAsia="zh-CN"/>
        </w:rPr>
        <w:t>根茎类蔬菜</w:t>
      </w:r>
      <w:r>
        <w:rPr>
          <w:rFonts w:hint="eastAsia" w:ascii="Times New Roman" w:hAnsi="Times New Roman" w:eastAsia="仿宋" w:cs="Times New Roman"/>
          <w:color w:val="000000"/>
          <w:kern w:val="0"/>
          <w:sz w:val="28"/>
          <w:szCs w:val="28"/>
        </w:rPr>
        <w:t>中的最大残留限量值为0.</w:t>
      </w:r>
      <w:r>
        <w:rPr>
          <w:rFonts w:hint="eastAsia" w:ascii="Times New Roman" w:hAnsi="Times New Roman" w:eastAsia="仿宋" w:cs="Times New Roman"/>
          <w:color w:val="000000"/>
          <w:kern w:val="0"/>
          <w:sz w:val="28"/>
          <w:szCs w:val="28"/>
          <w:lang w:val="en-US" w:eastAsia="zh-CN"/>
        </w:rPr>
        <w:t>2</w:t>
      </w:r>
      <w:r>
        <w:rPr>
          <w:rFonts w:hint="eastAsia" w:ascii="Times New Roman" w:hAnsi="Times New Roman" w:eastAsia="仿宋" w:cs="Times New Roman"/>
          <w:color w:val="000000"/>
          <w:kern w:val="0"/>
          <w:sz w:val="28"/>
          <w:szCs w:val="28"/>
        </w:rPr>
        <w:t>mg/kg</w:t>
      </w:r>
      <w:r>
        <w:rPr>
          <w:rFonts w:hint="eastAsia" w:ascii="Times New Roman" w:hAnsi="Times New Roman" w:eastAsia="仿宋" w:cs="Times New Roman"/>
          <w:color w:val="000000"/>
          <w:kern w:val="0"/>
          <w:sz w:val="28"/>
          <w:szCs w:val="28"/>
          <w:lang w:eastAsia="zh-CN"/>
        </w:rPr>
        <w:t>，</w:t>
      </w:r>
      <w:r>
        <w:rPr>
          <w:rFonts w:hint="eastAsia" w:ascii="Times New Roman" w:hAnsi="Times New Roman" w:eastAsia="仿宋" w:cs="Times New Roman"/>
          <w:color w:val="000000"/>
          <w:kern w:val="0"/>
          <w:sz w:val="28"/>
          <w:szCs w:val="28"/>
        </w:rPr>
        <w:t>而本次抽检中</w:t>
      </w:r>
      <w:r>
        <w:rPr>
          <w:rFonts w:hint="eastAsia" w:ascii="Times New Roman" w:hAnsi="Times New Roman" w:eastAsia="仿宋" w:cs="Times New Roman"/>
          <w:color w:val="000000"/>
          <w:kern w:val="0"/>
          <w:sz w:val="28"/>
          <w:szCs w:val="28"/>
          <w:lang w:val="en-US" w:eastAsia="zh-CN"/>
        </w:rPr>
        <w:t>2</w:t>
      </w:r>
      <w:r>
        <w:rPr>
          <w:rFonts w:hint="eastAsia" w:ascii="Times New Roman" w:hAnsi="Times New Roman" w:eastAsia="仿宋" w:cs="Times New Roman"/>
          <w:color w:val="000000"/>
          <w:kern w:val="0"/>
          <w:sz w:val="28"/>
          <w:szCs w:val="28"/>
        </w:rPr>
        <w:t>批次</w:t>
      </w:r>
      <w:r>
        <w:rPr>
          <w:rFonts w:hint="eastAsia" w:ascii="Times New Roman" w:hAnsi="Times New Roman" w:eastAsia="仿宋" w:cs="Times New Roman"/>
          <w:color w:val="000000"/>
          <w:kern w:val="0"/>
          <w:sz w:val="28"/>
          <w:szCs w:val="28"/>
          <w:lang w:eastAsia="zh-CN"/>
        </w:rPr>
        <w:t>姜中噻虫胺</w:t>
      </w:r>
      <w:r>
        <w:rPr>
          <w:rFonts w:hint="eastAsia" w:ascii="Times New Roman" w:hAnsi="Times New Roman" w:eastAsia="仿宋" w:cs="Times New Roman"/>
          <w:color w:val="000000"/>
          <w:kern w:val="0"/>
          <w:sz w:val="28"/>
          <w:szCs w:val="28"/>
        </w:rPr>
        <w:t>的检出值</w:t>
      </w:r>
      <w:r>
        <w:rPr>
          <w:rFonts w:hint="eastAsia" w:ascii="Times New Roman" w:hAnsi="Times New Roman" w:eastAsia="仿宋" w:cs="Times New Roman"/>
          <w:color w:val="000000"/>
          <w:kern w:val="0"/>
          <w:sz w:val="28"/>
          <w:szCs w:val="28"/>
          <w:lang w:val="en-US" w:eastAsia="zh-CN"/>
        </w:rPr>
        <w:t>分别</w:t>
      </w:r>
      <w:r>
        <w:rPr>
          <w:rFonts w:hint="eastAsia" w:ascii="Times New Roman" w:hAnsi="Times New Roman" w:eastAsia="仿宋" w:cs="Times New Roman"/>
          <w:color w:val="000000"/>
          <w:kern w:val="0"/>
          <w:sz w:val="28"/>
          <w:szCs w:val="28"/>
        </w:rPr>
        <w:t>为</w:t>
      </w:r>
      <w:r>
        <w:rPr>
          <w:rFonts w:hint="eastAsia" w:ascii="Times New Roman" w:hAnsi="Times New Roman" w:eastAsia="仿宋" w:cs="Times New Roman"/>
          <w:color w:val="000000"/>
          <w:kern w:val="0"/>
          <w:sz w:val="28"/>
          <w:szCs w:val="28"/>
          <w:lang w:val="en-US" w:eastAsia="zh-CN"/>
        </w:rPr>
        <w:t>0.41</w:t>
      </w:r>
      <w:r>
        <w:rPr>
          <w:rFonts w:hint="eastAsia" w:ascii="Times New Roman" w:hAnsi="Times New Roman" w:eastAsia="仿宋" w:cs="Times New Roman"/>
          <w:sz w:val="28"/>
          <w:szCs w:val="28"/>
          <w:lang w:val="en-US" w:eastAsia="zh-CN"/>
        </w:rPr>
        <w:t>mg/kg和6.49mg/kg</w:t>
      </w:r>
      <w:r>
        <w:rPr>
          <w:rFonts w:hint="eastAsia" w:ascii="Times New Roman" w:hAnsi="Times New Roman" w:eastAsia="仿宋" w:cs="Times New Roman"/>
          <w:color w:val="000000"/>
          <w:kern w:val="0"/>
          <w:sz w:val="28"/>
          <w:szCs w:val="28"/>
        </w:rPr>
        <w:t>。</w:t>
      </w:r>
    </w:p>
    <w:p w14:paraId="6662D382">
      <w:pPr>
        <w:ind w:firstLine="562" w:firstLineChars="200"/>
        <w:rPr>
          <w:rFonts w:ascii="Times New Roman" w:hAnsi="Times New Roman" w:eastAsia="仿宋" w:cs="Times New Roman"/>
          <w:sz w:val="28"/>
          <w:szCs w:val="28"/>
        </w:rPr>
      </w:pPr>
      <w:r>
        <w:rPr>
          <w:rFonts w:ascii="Times New Roman" w:hAnsi="Times New Roman" w:eastAsia="仿宋" w:cs="Times New Roman"/>
          <w:b/>
          <w:bCs/>
          <w:sz w:val="28"/>
          <w:szCs w:val="28"/>
        </w:rPr>
        <w:t>目前蔬菜中农残超标的主要原因包括：</w:t>
      </w:r>
      <w:r>
        <w:rPr>
          <w:rFonts w:ascii="Times New Roman" w:hAnsi="Times New Roman" w:eastAsia="仿宋" w:cs="Times New Roman"/>
          <w:sz w:val="28"/>
          <w:szCs w:val="28"/>
        </w:rPr>
        <w:t>a.种植过程中违规使用禁用的高毒、高残留农药；b.施用农药后未按规定的安全间隔期采收，往往提前采收；c.不按规定浓度施用，随意加大用量、增加施用次数等；d.由于土壤、水质、空气等污染严重，蔬菜通过环境污染而富集农残。</w:t>
      </w:r>
    </w:p>
    <w:p w14:paraId="0786CC82">
      <w:pPr>
        <w:spacing w:line="360" w:lineRule="auto"/>
        <w:rPr>
          <w:rFonts w:hint="eastAsia" w:ascii="Times New Roman" w:hAnsi="Times New Roman" w:eastAsia="仿宋" w:cs="Times New Roman"/>
          <w:b/>
          <w:bCs/>
          <w:color w:val="000000"/>
          <w:kern w:val="0"/>
          <w:sz w:val="28"/>
          <w:szCs w:val="28"/>
          <w:lang w:val="en-US" w:eastAsia="zh-CN"/>
        </w:rPr>
      </w:pPr>
      <w:bookmarkStart w:id="0" w:name="_GoBack"/>
      <w:bookmarkEnd w:id="0"/>
      <w:r>
        <w:rPr>
          <w:rFonts w:hint="eastAsia" w:ascii="Times New Roman" w:hAnsi="Times New Roman" w:eastAsia="仿宋" w:cs="Times New Roman"/>
          <w:b/>
          <w:bCs/>
          <w:color w:val="000000"/>
          <w:kern w:val="0"/>
          <w:sz w:val="28"/>
          <w:szCs w:val="28"/>
          <w:lang w:val="en-US" w:eastAsia="zh-CN"/>
        </w:rPr>
        <w:t>2、</w:t>
      </w:r>
      <w:r>
        <w:rPr>
          <w:rFonts w:hint="eastAsia" w:ascii="Times New Roman" w:hAnsi="Times New Roman" w:eastAsia="仿宋" w:cs="Times New Roman"/>
          <w:b/>
          <w:bCs/>
          <w:color w:val="000000"/>
          <w:kern w:val="0"/>
          <w:sz w:val="28"/>
          <w:szCs w:val="28"/>
        </w:rPr>
        <w:t>N-二甲基亚硝胺</w:t>
      </w:r>
    </w:p>
    <w:p w14:paraId="075301C8">
      <w:pPr>
        <w:spacing w:line="360" w:lineRule="auto"/>
        <w:ind w:firstLine="560" w:firstLineChars="200"/>
      </w:pPr>
      <w:r>
        <w:rPr>
          <w:rFonts w:hint="eastAsia" w:ascii="Times New Roman" w:hAnsi="Times New Roman" w:eastAsia="仿宋" w:cs="Times New Roman"/>
          <w:b w:val="0"/>
          <w:bCs w:val="0"/>
          <w:color w:val="000000"/>
          <w:kern w:val="0"/>
          <w:sz w:val="28"/>
          <w:szCs w:val="28"/>
        </w:rPr>
        <w:t>N-二甲基亚硝胺是N-亚硝胺类化合物的一种，是国际公认的毒性较大的污染物，具有肝毒性和致癌性。目前由N-二甲基亚硝胺引起的急性中毒较少，但如果一次或多次摄入含大量N-亚硝胺类化合物的食物，也可能引起急性中毒。</w:t>
      </w:r>
      <w:r>
        <w:rPr>
          <w:rFonts w:hint="eastAsia" w:ascii="Times New Roman" w:hAnsi="Times New Roman" w:eastAsia="仿宋" w:cs="Times New Roman"/>
          <w:color w:val="000000"/>
          <w:kern w:val="0"/>
          <w:sz w:val="28"/>
          <w:szCs w:val="28"/>
        </w:rPr>
        <w:t>《食品安全国家标准 食品中污染物限量》（GB 2762—2022）中规定，N-二甲基亚硝胺在</w:t>
      </w:r>
      <w:r>
        <w:rPr>
          <w:rFonts w:hint="eastAsia" w:ascii="Times New Roman" w:hAnsi="Times New Roman" w:eastAsia="仿宋" w:cs="Times New Roman"/>
          <w:color w:val="000000"/>
          <w:kern w:val="0"/>
          <w:sz w:val="28"/>
          <w:szCs w:val="28"/>
          <w:lang w:val="en-US" w:eastAsia="zh-CN"/>
        </w:rPr>
        <w:t>熏烧烤肉制品</w:t>
      </w:r>
      <w:r>
        <w:rPr>
          <w:rFonts w:hint="eastAsia" w:ascii="Times New Roman" w:hAnsi="Times New Roman" w:eastAsia="仿宋" w:cs="Times New Roman"/>
          <w:color w:val="000000"/>
          <w:kern w:val="0"/>
          <w:sz w:val="28"/>
          <w:szCs w:val="28"/>
        </w:rPr>
        <w:t>中的最大限量值为</w:t>
      </w:r>
      <w:r>
        <w:rPr>
          <w:rFonts w:hint="eastAsia" w:ascii="Times New Roman" w:hAnsi="Times New Roman" w:eastAsia="仿宋" w:cs="Times New Roman"/>
          <w:color w:val="000000"/>
          <w:kern w:val="0"/>
          <w:sz w:val="28"/>
          <w:szCs w:val="28"/>
          <w:lang w:val="en-US" w:eastAsia="zh-CN"/>
        </w:rPr>
        <w:t>3</w:t>
      </w:r>
      <w:r>
        <w:rPr>
          <w:rFonts w:hint="eastAsia" w:ascii="Times New Roman" w:hAnsi="Times New Roman" w:eastAsia="仿宋" w:cs="Times New Roman"/>
          <w:color w:val="000000"/>
          <w:kern w:val="0"/>
          <w:sz w:val="28"/>
          <w:szCs w:val="28"/>
        </w:rPr>
        <w:t>.0μg/kg。</w:t>
      </w:r>
      <w:r>
        <w:rPr>
          <w:rFonts w:hint="eastAsia" w:ascii="Times New Roman" w:hAnsi="Times New Roman" w:eastAsia="仿宋" w:cs="Times New Roman"/>
          <w:color w:val="000000"/>
          <w:kern w:val="0"/>
          <w:sz w:val="28"/>
          <w:szCs w:val="28"/>
          <w:lang w:val="en-US" w:eastAsia="zh-CN"/>
        </w:rPr>
        <w:t>熏烧烤肉制品</w:t>
      </w:r>
      <w:r>
        <w:rPr>
          <w:rFonts w:hint="eastAsia" w:ascii="Times New Roman" w:hAnsi="Times New Roman" w:eastAsia="仿宋" w:cs="Times New Roman"/>
          <w:color w:val="000000"/>
          <w:kern w:val="0"/>
          <w:sz w:val="28"/>
          <w:szCs w:val="28"/>
        </w:rPr>
        <w:t>中N-二甲基亚硝胺超标的原因，可能是在加工或贮存过程中产生；也可能是通过包装材料的迁移使食品受到污染造成的。</w:t>
      </w:r>
    </w:p>
    <w:p w14:paraId="7AB9FCF0">
      <w:pPr>
        <w:spacing w:line="360" w:lineRule="auto"/>
        <w:rPr>
          <w:rFonts w:ascii="Times New Roman" w:hAnsi="Times New Roman" w:eastAsia="仿宋" w:cs="Times New Roman"/>
          <w:b/>
          <w:bCs/>
          <w:color w:val="000000"/>
          <w:kern w:val="0"/>
          <w:sz w:val="28"/>
          <w:szCs w:val="28"/>
        </w:rPr>
      </w:pPr>
      <w:r>
        <w:rPr>
          <w:rFonts w:hint="eastAsia" w:ascii="Times New Roman" w:hAnsi="Times New Roman" w:eastAsia="仿宋" w:cs="Times New Roman"/>
          <w:b/>
          <w:bCs/>
          <w:color w:val="000000"/>
          <w:kern w:val="0"/>
          <w:sz w:val="28"/>
          <w:szCs w:val="28"/>
          <w:lang w:val="en-US" w:eastAsia="zh-CN"/>
        </w:rPr>
        <w:t>3、</w:t>
      </w:r>
      <w:r>
        <w:rPr>
          <w:rFonts w:ascii="Times New Roman" w:hAnsi="Times New Roman" w:eastAsia="仿宋" w:cs="Times New Roman"/>
          <w:b/>
          <w:bCs/>
          <w:color w:val="000000"/>
          <w:kern w:val="0"/>
          <w:sz w:val="28"/>
          <w:szCs w:val="28"/>
        </w:rPr>
        <w:t>阴离子合成洗涤剂</w:t>
      </w:r>
    </w:p>
    <w:p w14:paraId="60853048">
      <w:pPr>
        <w:spacing w:line="360" w:lineRule="auto"/>
        <w:ind w:firstLine="560" w:firstLineChars="200"/>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阴离子合成洗涤剂，即我们日常生活中经常用到的洗衣粉、洗洁精、洗衣液、肥皂等洗涤剂的主要成分，其主要成分十二烷基磺酸钠，是一种低毒物质,因其使用方便、易溶解、稳定性好、成本低等优点,在消毒企业中广泛使用,但是如果餐具清洗消毒流程控制不当,会造成洗涤剂在餐具上的残留,对人体健康产生不良影响。因此，作为一种非食用的合成化学物质，应控制人体的摄入。</w:t>
      </w:r>
    </w:p>
    <w:p w14:paraId="49C7DC20">
      <w:pPr>
        <w:spacing w:line="360" w:lineRule="auto"/>
        <w:ind w:firstLine="560" w:firstLineChars="200"/>
        <w:rPr>
          <w:rFonts w:eastAsia="仿宋"/>
          <w:color w:val="000000"/>
          <w:kern w:val="0"/>
          <w:sz w:val="28"/>
          <w:szCs w:val="28"/>
        </w:rPr>
      </w:pPr>
      <w:r>
        <w:rPr>
          <w:rFonts w:ascii="Times New Roman" w:hAnsi="Times New Roman" w:eastAsia="仿宋" w:cs="Times New Roman"/>
          <w:color w:val="000000"/>
          <w:kern w:val="0"/>
          <w:sz w:val="28"/>
          <w:szCs w:val="28"/>
        </w:rPr>
        <w:t>GB 14934-2016《食品安全国家标准消毒餐（饮）具》规定</w:t>
      </w:r>
      <w:r>
        <w:rPr>
          <w:rFonts w:eastAsia="仿宋"/>
          <w:color w:val="000000"/>
          <w:kern w:val="0"/>
          <w:sz w:val="28"/>
          <w:szCs w:val="28"/>
        </w:rPr>
        <w:t>采用化学消毒法的餐（饮）具的阴离子合成洗涤剂应不得检出。</w:t>
      </w:r>
    </w:p>
    <w:p w14:paraId="2A7B5B07">
      <w:pPr>
        <w:spacing w:line="360" w:lineRule="auto"/>
        <w:ind w:firstLine="560" w:firstLineChars="200"/>
        <w:rPr>
          <w:rFonts w:hint="eastAsia" w:eastAsia="仿宋"/>
          <w:lang w:val="en-US" w:eastAsia="zh-CN"/>
        </w:rPr>
      </w:pPr>
      <w:r>
        <w:rPr>
          <w:rFonts w:ascii="Times New Roman" w:hAnsi="Times New Roman" w:eastAsia="仿宋" w:cs="Times New Roman"/>
          <w:color w:val="000000"/>
          <w:kern w:val="0"/>
          <w:sz w:val="28"/>
          <w:szCs w:val="28"/>
        </w:rPr>
        <w:t>餐（饮）具中检出阴离子合成洗涤剂，可能是部分单位使用的洗涤剂不合格或使用量过大，未经足够量清水冲洗或餐具漂洗池内清洗用水重复使用或餐具数量多，造成交叉污染，进而残存在餐（饮）具</w:t>
      </w:r>
      <w:r>
        <w:rPr>
          <w:rFonts w:hint="eastAsia" w:ascii="Times New Roman" w:hAnsi="Times New Roman" w:eastAsia="仿宋" w:cs="Times New Roman"/>
          <w:color w:val="000000"/>
          <w:kern w:val="0"/>
          <w:sz w:val="28"/>
          <w:szCs w:val="28"/>
          <w:lang w:eastAsia="zh-CN"/>
        </w:rPr>
        <w:t>中。</w:t>
      </w:r>
    </w:p>
    <w:p w14:paraId="38A135AF">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44"/>
    <w:rsid w:val="00256B44"/>
    <w:rsid w:val="0032036A"/>
    <w:rsid w:val="00674B52"/>
    <w:rsid w:val="00C57372"/>
    <w:rsid w:val="00D675F1"/>
    <w:rsid w:val="01746372"/>
    <w:rsid w:val="01C33496"/>
    <w:rsid w:val="07EB1912"/>
    <w:rsid w:val="098827C8"/>
    <w:rsid w:val="13136EF9"/>
    <w:rsid w:val="16536C36"/>
    <w:rsid w:val="16D84EFC"/>
    <w:rsid w:val="20740EA1"/>
    <w:rsid w:val="20E119DF"/>
    <w:rsid w:val="24C820E3"/>
    <w:rsid w:val="2B394FA2"/>
    <w:rsid w:val="2FD77095"/>
    <w:rsid w:val="36AA02D3"/>
    <w:rsid w:val="374455F9"/>
    <w:rsid w:val="3978459F"/>
    <w:rsid w:val="404C34F8"/>
    <w:rsid w:val="451E2C40"/>
    <w:rsid w:val="4ADF1D7B"/>
    <w:rsid w:val="54133801"/>
    <w:rsid w:val="544B6F37"/>
    <w:rsid w:val="60DF67A5"/>
    <w:rsid w:val="62E95B40"/>
    <w:rsid w:val="64CD2802"/>
    <w:rsid w:val="6CE4695B"/>
    <w:rsid w:val="6EFA1A61"/>
    <w:rsid w:val="70CC45E4"/>
    <w:rsid w:val="77BC2A19"/>
    <w:rsid w:val="77D108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0"/>
    <w:pPr>
      <w:spacing w:before="260" w:line="415" w:lineRule="auto"/>
      <w:ind w:firstLine="420" w:firstLineChars="100"/>
    </w:pPr>
    <w:rPr>
      <w:rFonts w:ascii="Times New Roman" w:hAnsi="Times New Roman"/>
      <w:szCs w:val="24"/>
    </w:rPr>
  </w:style>
  <w:style w:type="paragraph" w:styleId="3">
    <w:name w:val="Body Text"/>
    <w:basedOn w:val="1"/>
    <w:unhideWhenUsed/>
    <w:qFormat/>
    <w:uiPriority w:val="0"/>
    <w:pPr>
      <w:spacing w:after="120" w:afterLines="0" w:afterAutospacing="0"/>
    </w:pPr>
  </w:style>
  <w:style w:type="paragraph" w:styleId="4">
    <w:name w:val="Body Text First Indent 2"/>
    <w:basedOn w:val="1"/>
    <w:next w:val="1"/>
    <w:qFormat/>
    <w:uiPriority w:val="0"/>
    <w:pPr>
      <w:adjustRightInd w:val="0"/>
      <w:ind w:left="0" w:leftChars="0" w:firstLine="880" w:firstLineChars="200"/>
    </w:pPr>
    <w:rPr>
      <w:rFonts w:eastAsia="仿宋"/>
      <w:sz w:val="32"/>
      <w:szCs w:val="22"/>
    </w:rPr>
  </w:style>
  <w:style w:type="paragraph" w:styleId="5">
    <w:name w:val="toa heading"/>
    <w:basedOn w:val="1"/>
    <w:next w:val="1"/>
    <w:qFormat/>
    <w:uiPriority w:val="0"/>
    <w:rPr>
      <w:rFonts w:ascii="Arial" w:hAnsi="Arial"/>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Normal (Web)"/>
    <w:basedOn w:val="1"/>
    <w:qFormat/>
    <w:uiPriority w:val="0"/>
    <w:pPr>
      <w:spacing w:beforeAutospacing="1" w:afterAutospacing="1"/>
      <w:jc w:val="left"/>
    </w:pPr>
    <w:rPr>
      <w:rFonts w:cs="Times New Roman"/>
      <w:kern w:val="0"/>
      <w:sz w:val="24"/>
    </w:rPr>
  </w:style>
  <w:style w:type="paragraph" w:customStyle="1" w:styleId="12">
    <w:name w:val="样式 样式 左侧:  2 字符 + 左侧:  0.85 厘米 首行缩进:  2 字符1"/>
    <w:basedOn w:val="1"/>
    <w:qFormat/>
    <w:uiPriority w:val="0"/>
    <w:pPr>
      <w:ind w:left="482" w:firstLine="200" w:firstLineChars="200"/>
    </w:pPr>
    <w:rPr>
      <w:rFonts w:cs="宋体"/>
    </w:rPr>
  </w:style>
  <w:style w:type="character" w:customStyle="1" w:styleId="13">
    <w:name w:val="页眉 字符"/>
    <w:basedOn w:val="11"/>
    <w:link w:val="7"/>
    <w:qFormat/>
    <w:uiPriority w:val="99"/>
    <w:rPr>
      <w:sz w:val="18"/>
      <w:szCs w:val="18"/>
    </w:rPr>
  </w:style>
  <w:style w:type="character" w:customStyle="1" w:styleId="14">
    <w:name w:val="页脚 字符"/>
    <w:basedOn w:val="11"/>
    <w:link w:val="6"/>
    <w:qFormat/>
    <w:uiPriority w:val="99"/>
    <w:rPr>
      <w:sz w:val="18"/>
      <w:szCs w:val="18"/>
    </w:rPr>
  </w:style>
  <w:style w:type="paragraph" w:customStyle="1" w:styleId="15">
    <w:name w:val="Style1"/>
    <w:autoRedefine/>
    <w:qFormat/>
    <w:uiPriority w:val="0"/>
    <w:pPr>
      <w:spacing w:after="120"/>
      <w:jc w:val="both"/>
    </w:pPr>
    <w:rPr>
      <w:rFonts w:ascii="Calibri" w:hAnsi="Calibri" w:eastAsia="Times New Roman" w:cs="Times New Roman"/>
      <w:color w:val="000000"/>
      <w:spacing w:val="-3"/>
      <w:sz w:val="24"/>
      <w:szCs w:val="24"/>
      <w:lang w:val="en-US" w:eastAsia="zh-CN" w:bidi="ar-SA"/>
    </w:rPr>
  </w:style>
  <w:style w:type="paragraph" w:customStyle="1" w:styleId="16">
    <w:name w:val="TOC1"/>
    <w:basedOn w:val="1"/>
    <w:next w:val="1"/>
    <w:qFormat/>
    <w:uiPriority w:val="0"/>
    <w:pPr>
      <w:jc w:val="both"/>
      <w:textAlignment w:val="baseline"/>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EB48B-CE55-4A18-9B98-F6049B3C3D97}">
  <ds:schemaRefs/>
</ds:datastoreItem>
</file>

<file path=docProps/app.xml><?xml version="1.0" encoding="utf-8"?>
<Properties xmlns="http://schemas.openxmlformats.org/officeDocument/2006/extended-properties" xmlns:vt="http://schemas.openxmlformats.org/officeDocument/2006/docPropsVTypes">
  <Template>Normal</Template>
  <Pages>3</Pages>
  <Words>1475</Words>
  <Characters>1578</Characters>
  <Lines>1</Lines>
  <Paragraphs>4</Paragraphs>
  <TotalTime>1</TotalTime>
  <ScaleCrop>false</ScaleCrop>
  <LinksUpToDate>false</LinksUpToDate>
  <CharactersWithSpaces>1589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2020-08-25T07:47:00Z</dcterms:created>
  <dc:creator>徐 晓阳</dc:creator>
  <cp:lastModifiedBy>任晨筱</cp:lastModifiedBy>
  <dcterms:modified xsi:type="dcterms:W3CDTF">2026-07-22T02:57:56Z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319BB368791342DA9B2F3B326CB15E21</vt:lpwstr>
  </property>
  <property fmtid="{D5CDD505-2E9C-101B-9397-08002B2CF9AE}" pid="4" name="KSOTemplateDocerSaveRecord">
    <vt:lpwstr>eyJoZGlkIjoiNmUyYzJlYzczYjY0ODM1MTMyNjQ3Yjk3YzZlMWVhY2MiLCJ1c2VySWQiOiIzMTQzNzg2MjEifQ==</vt:lpwstr>
  </property>
</Properties>
</file>