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关于落实政务信息公开工作任务分解的通知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各科室：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高新区管委办公室大数据科的统一要求，前期综合科已对我单位政务信息公开目录进行了梳理，并将原平台信息迁移到了新平台。为进一步建立健全政务信息公开运行机制，加强政务信息发布、表达和回应，保证信息公开的时效性，现将我单位政务信息公开工作任务进行分解，请认真贯彻执行。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附：淄博高新区人力资源和社会保障中心政务公开基本目录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2021年5月26日   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F6EF3"/>
    <w:rsid w:val="2E5F6EF3"/>
    <w:rsid w:val="490828B0"/>
    <w:rsid w:val="5A7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2021-05-26T00:39:00Z</dcterms:created>
  <dc:creator>⁽⁽ଘ王点点ଓ⁾⁾</dc:creator>
  <cp:lastModifiedBy>⁽⁽ଘ王点点ଓ⁾⁾</cp:lastModifiedBy>
  <dcterms:modified xsi:type="dcterms:W3CDTF">2021-05-26T01:21:43Z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180DBB47C37A415598C702B052944DF1</vt:lpwstr>
  </property>
</Properties>
</file>