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center"/>
        <w:rPr>
          <w:sz w:val="36"/>
          <w:szCs w:val="36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center"/>
        <w:rPr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</w:rPr>
        <w:t>淄博高新区</w:t>
      </w: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  <w:lang w:eastAsia="zh-CN"/>
        </w:rPr>
        <w:t>技术产业开发区</w:t>
      </w: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</w:rPr>
        <w:t>群众工作部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center"/>
        <w:rPr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Style w:val="5"/>
          <w:rFonts w:hint="eastAsia" w:ascii="微软雅黑" w:hAnsi="微软雅黑" w:eastAsia="微软雅黑" w:cs="微软雅黑"/>
          <w:spacing w:val="0"/>
          <w:sz w:val="36"/>
          <w:szCs w:val="36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sz w:val="36"/>
          <w:szCs w:val="36"/>
        </w:rPr>
      </w:pPr>
      <w:r>
        <w:rPr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pacing w:val="0"/>
          <w:sz w:val="21"/>
          <w:szCs w:val="21"/>
          <w:shd w:val="clear" w:fill="FFFFFF"/>
        </w:rPr>
        <w:t>本报告根据《中华人民共和国政府信息公开条例》、《国务院办公厅政府信息与政务公开办公室关于印发&lt;中华人民共和国政府信息公开工作年度报告格式&gt;的通知》（国办公开办函〔2021〕30号）编制。本年度报告中所列数据的统计期限自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年1月1日起，至202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年12月31日止。</w:t>
      </w:r>
      <w:r>
        <w:rPr>
          <w:rFonts w:hint="eastAsia" w:ascii="微软雅黑" w:hAnsi="微软雅黑" w:eastAsia="微软雅黑" w:cs="微软雅黑"/>
          <w:color w:val="auto"/>
          <w:spacing w:val="0"/>
          <w:sz w:val="21"/>
          <w:szCs w:val="21"/>
          <w:shd w:val="clear" w:fill="FFFFFF"/>
        </w:rPr>
        <w:t>如对本报告有疑问，请与淄博高新区群众工作部联系（地址：淄博高新区万杰路109号高新区检察院611室；邮编：255086；联系电话：0533-3585326；邮箱：gxqqzgzb@zb.shandong.cn）。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color w:val="auto"/>
          <w:spacing w:val="0"/>
          <w:sz w:val="21"/>
          <w:szCs w:val="21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年，淄博高新区群众工作部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全面贯彻落实党的二十大精神，认真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履行防风险、保安全、护稳定的职责使命，严格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按照省、市和高新区关于推进政府信息公开工作的部署要求，着力健全完善信息公开工作体系，强化信息公开载体建设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现将有关情况报告如下：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（一）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主动公开方面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调整充实政府信息公开工作领导小组，定期召开政府信息公开工作会议，健全完善主动公开制度、重大决策公开制度、政府信息及时发布制度，通过政务公开栏、政务信息公开网站、设立意见箱等多种形式，将各种政务公开信息以及各项行政办理事项的办事依据、办事职责、办事程序、办事标准、办事时限、办事结果向社会广泛公开，不断加大政务公开宣传力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持续提升解读质量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通过图表图解、数字化等多种形式解读相关政策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在方便服务对象的同时，接受社会各界的监督。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年，淄博高新区群众工作部共主动公开政府信息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127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。其中，机构职能信息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条、法规文件信息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条、重大决策预公开信息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条、政府会议信息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条、执行和结果公开信息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条、组织管理信息3条、信息公开指南1条、信息公开制度1条、主动公开基本目录信息2条、信息公开年度报告1条、规划计划信息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条、财政预决算信息6条、其他信息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申请公开工作方面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8" w:lineRule="atLeast"/>
        <w:ind w:right="0" w:rightChars="0" w:firstLine="840" w:firstLineChars="40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年度，我部门未收到政府信息公开申请。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18" w:lineRule="atLeast"/>
        <w:ind w:left="0" w:leftChars="0" w:right="0" w:firstLine="64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政府信息管理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方面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8" w:lineRule="atLeast"/>
        <w:ind w:right="0" w:rightChars="0" w:firstLine="840" w:firstLineChars="40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是根据管委会要求，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 w:fill="FFFFFF"/>
        </w:rPr>
        <w:t>不断建立健全政府信息制作、公开、存档等制度，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对政府信息及时动态更新，做到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 w:fill="FFFFFF"/>
        </w:rPr>
        <w:t>规范管理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二是结合工作实际，在公开内容上围绕重点领域、关键环节，突出群众关心、社会关注、与群众利益关系最密切的重要事项。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三是进一步规范信息公开保密审核，严格保密审查，确保不发生信息安全事故。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18" w:lineRule="atLeast"/>
        <w:ind w:left="0" w:leftChars="0" w:right="0" w:firstLine="64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平台建设方面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8" w:lineRule="atLeast"/>
        <w:ind w:right="0" w:rightChars="0" w:firstLine="840" w:firstLineChars="40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按照管委会要求，对高新区网站部门政府信息公开板块栏目进行调整，完善更新内容，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深入推进决策公开、执行公开、管理公开、服务公开、结果公开和重点领域信息公开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，提升政务动态信息发布的时效性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方便群众获取。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18" w:lineRule="atLeast"/>
        <w:ind w:left="0" w:leftChars="0" w:right="0" w:firstLine="640" w:firstLine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监督保障方面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8" w:lineRule="atLeast"/>
        <w:ind w:right="0" w:rightChars="0" w:firstLine="840" w:firstLineChars="40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按照管委会要求，全面提升信息公开业务水平，认真落实三审三校程序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确保公开信息准确规范。同时，对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机构职能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、办公地址、联系方式等内容进行公开，及时更新相关工作事项进展，确保监督保障渠道畅通。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t>二、主动公开政府信息情况</w:t>
      </w:r>
    </w:p>
    <w:tbl>
      <w:tblPr>
        <w:tblStyle w:val="3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eastAsiaTheme="minorEastAsia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jc w:val="left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rPr>
          <w:color w:val="auto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auto"/>
          <w:spacing w:val="0"/>
          <w:sz w:val="21"/>
          <w:szCs w:val="21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1"/>
          <w:szCs w:val="21"/>
        </w:rPr>
        <w:t> </w:t>
      </w:r>
    </w:p>
    <w:tbl>
      <w:tblPr>
        <w:tblStyle w:val="3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829"/>
        <w:gridCol w:w="1951"/>
        <w:gridCol w:w="829"/>
        <w:gridCol w:w="840"/>
        <w:gridCol w:w="796"/>
        <w:gridCol w:w="851"/>
        <w:gridCol w:w="873"/>
        <w:gridCol w:w="685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4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6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4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40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34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机构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465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3465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1.属于国家秘密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3.危及“三安全一稳定”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4.保护第三方合法权益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5.属于三类内部事务信息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6.属于四类过程性信息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7.属于行政执法案卷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8.属于行政查询事项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1.信访举报投诉类申请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2.重复申请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3.要求提供公开出版物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3.其他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685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3465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rPr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   </w:t>
      </w: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四、政府信息公开行政复议、行政诉讼情况</w:t>
      </w:r>
    </w:p>
    <w:tbl>
      <w:tblPr>
        <w:tblStyle w:val="3"/>
        <w:tblW w:w="9506" w:type="dxa"/>
        <w:tblInd w:w="-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666"/>
        <w:gridCol w:w="666"/>
        <w:gridCol w:w="666"/>
        <w:gridCol w:w="666"/>
        <w:gridCol w:w="667"/>
        <w:gridCol w:w="667"/>
        <w:gridCol w:w="667"/>
        <w:gridCol w:w="667"/>
        <w:gridCol w:w="668"/>
        <w:gridCol w:w="668"/>
        <w:gridCol w:w="668"/>
        <w:gridCol w:w="668"/>
        <w:gridCol w:w="668"/>
        <w:gridCol w:w="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30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641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33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3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6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36"/>
                <w:szCs w:val="3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 w:firstLine="640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t>五、存在的主要问题及改进情况</w:t>
      </w: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     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年，淄博高新区群众工作部政府信息公开工作虽然取得了一定成效，但还存在以下问题：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一是政府信息公开的内容有待深化，信息公开的广度需进一步加大，政策解读、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相关链接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栏目发布的信息量还不足，时效性有待提高。二是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政策解读形式不够丰富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政策性文件多采用文字方式解读，音频、图文解读较少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。三是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政务公开工作培训力度有待加强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，相关人员对公开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事项准确理解、依法办理、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规范操作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的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意识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和能力还有待提高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     针对以上问题，我们采取了以下措施进行改正：一是加强有关政策法规、条例的学习，逐步扩大信息主动公开范围，提高信息公开质量。二是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创新政策解读形式，采用有声朗读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、图示图解、短视频等多元解读形式。三是加强政务公开培训，规范政务公开行为，提高责任意识，增强专业素养，切实提升政务公开工作人员专业能力和水平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t>六、其他需要报告的事项</w:t>
      </w:r>
    </w:p>
    <w:p>
      <w:pP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1"/>
          <w:szCs w:val="21"/>
        </w:rPr>
        <w:t xml:space="preserve">  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  一、2023年，我单位未收取政府依申请公开信息处理费。</w:t>
      </w:r>
    </w:p>
    <w:p>
      <w:pP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    二、本年度无建议提案办理。</w:t>
      </w:r>
    </w:p>
    <w:p>
      <w:pP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 xml:space="preserve">   三、工作创新情况：充分利用政府网站、政务新媒体宣传优势，不断对栏目设置、公开内容、版面美化、功能设计、解读形式等方面进行创新。</w:t>
      </w:r>
    </w:p>
    <w:p>
      <w:pP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 xml:space="preserve">   四、本年度严格按照政务公开工作方案部署，围绕年度重点任务、薄弱环节不断深化政务公开成效，强化政务信息管理，狠抓工作和责任落实，确保政务公开工作落到实处。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F23BA"/>
    <w:multiLevelType w:val="singleLevel"/>
    <w:tmpl w:val="79BF23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WEyZDgzYmJlM2Y4ZTU4MmZmOWVkNmE4ZjE1ZDAifQ=="/>
  </w:docVars>
  <w:rsids>
    <w:rsidRoot w:val="00000000"/>
    <w:rsid w:val="1B534344"/>
    <w:rsid w:val="1C4E5B67"/>
    <w:rsid w:val="29345F99"/>
    <w:rsid w:val="2D5A27AA"/>
    <w:rsid w:val="3F685733"/>
    <w:rsid w:val="4F7A5C04"/>
    <w:rsid w:val="55A929D7"/>
    <w:rsid w:val="651B36C4"/>
    <w:rsid w:val="79EE0479"/>
    <w:rsid w:val="7EA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2024-01-18T08:51:00Z</dcterms:created>
  <dc:creator>Administrator</dc:creator>
  <cp:lastModifiedBy>Administrator</cp:lastModifiedBy>
  <cp:lastPrinted>2024-01-30T08:52:00Z</cp:lastPrinted>
  <dcterms:modified xsi:type="dcterms:W3CDTF">2024-01-31T02:15:48Z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CA987D482D4D41468B89DA1FBB383063_12</vt:lpwstr>
  </property>
</Properties>
</file>