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bookmarkStart w:id="0" w:name="_GoBack"/>
      <w:bookmarkEnd w:id="0"/>
    </w:p>
    <w:p>
      <w:pPr>
        <w:spacing w:line="600" w:lineRule="exact"/>
        <w:jc w:val="center"/>
        <w:rPr>
          <w:rFonts w:hint="eastAsia" w:ascii="方正小标宋简体" w:eastAsia="方正小标宋简体"/>
          <w:sz w:val="21"/>
          <w:szCs w:val="21"/>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年政府信息公开工作年度报告</w:t>
      </w:r>
    </w:p>
    <w:p>
      <w:pPr>
        <w:spacing w:line="600" w:lineRule="exact"/>
        <w:jc w:val="center"/>
        <w:rPr>
          <w:rFonts w:hint="eastAsia" w:ascii="方正小标宋简体" w:eastAsia="方正小标宋简体"/>
          <w:sz w:val="16"/>
          <w:szCs w:val="16"/>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szCs w:val="32"/>
        </w:rPr>
      </w:pPr>
      <w:r>
        <w:rPr>
          <w:rFonts w:hint="eastAsia" w:ascii="仿宋_GB2312" w:eastAsia="仿宋_GB2312"/>
          <w:sz w:val="30"/>
          <w:szCs w:val="30"/>
        </w:rPr>
        <w:t xml:space="preserve"> </w:t>
      </w:r>
      <w:r>
        <w:rPr>
          <w:rFonts w:hint="eastAsia" w:ascii="仿宋_GB2312" w:eastAsia="仿宋_GB2312"/>
          <w:sz w:val="32"/>
          <w:szCs w:val="32"/>
        </w:rPr>
        <w:t xml:space="preserve">   </w:t>
      </w:r>
      <w:r>
        <w:rPr>
          <w:rFonts w:ascii="仿宋_GB2312" w:eastAsia="仿宋_GB2312"/>
          <w:sz w:val="32"/>
          <w:szCs w:val="32"/>
        </w:rPr>
        <w:t>根据</w:t>
      </w:r>
      <w:r>
        <w:rPr>
          <w:rFonts w:hint="eastAsia" w:ascii="仿宋_GB2312" w:eastAsia="仿宋_GB2312"/>
          <w:sz w:val="32"/>
          <w:szCs w:val="32"/>
        </w:rPr>
        <w:t>工委、管委</w:t>
      </w:r>
      <w:r>
        <w:rPr>
          <w:rFonts w:ascii="仿宋_GB2312" w:eastAsia="仿宋_GB2312"/>
          <w:sz w:val="32"/>
          <w:szCs w:val="32"/>
        </w:rPr>
        <w:t>办公室《关于</w:t>
      </w:r>
      <w:r>
        <w:rPr>
          <w:rFonts w:hint="eastAsia" w:ascii="仿宋_GB2312" w:eastAsia="仿宋_GB2312"/>
          <w:sz w:val="32"/>
          <w:szCs w:val="32"/>
        </w:rPr>
        <w:t>做好</w:t>
      </w:r>
      <w:r>
        <w:rPr>
          <w:rFonts w:ascii="仿宋_GB2312" w:eastAsia="仿宋_GB2312"/>
          <w:sz w:val="32"/>
          <w:szCs w:val="32"/>
        </w:rPr>
        <w:t>20</w:t>
      </w:r>
      <w:r>
        <w:rPr>
          <w:rFonts w:hint="eastAsia" w:ascii="仿宋_GB2312" w:eastAsia="仿宋_GB2312"/>
          <w:sz w:val="32"/>
          <w:szCs w:val="32"/>
          <w:lang w:val="en-US" w:eastAsia="zh-CN"/>
        </w:rPr>
        <w:t>22</w:t>
      </w:r>
      <w:r>
        <w:rPr>
          <w:rFonts w:ascii="仿宋_GB2312" w:eastAsia="仿宋_GB2312"/>
          <w:sz w:val="32"/>
          <w:szCs w:val="32"/>
        </w:rPr>
        <w:t>年政府信息公开</w:t>
      </w:r>
      <w:r>
        <w:rPr>
          <w:rFonts w:hint="eastAsia" w:ascii="仿宋_GB2312" w:eastAsia="仿宋_GB2312"/>
          <w:sz w:val="32"/>
          <w:szCs w:val="32"/>
        </w:rPr>
        <w:t>年度报告编制发布的</w:t>
      </w:r>
      <w:r>
        <w:rPr>
          <w:rFonts w:ascii="仿宋_GB2312" w:eastAsia="仿宋_GB2312"/>
          <w:sz w:val="32"/>
          <w:szCs w:val="32"/>
        </w:rPr>
        <w:t>通知》的有关精神和要求，</w:t>
      </w:r>
      <w:r>
        <w:rPr>
          <w:rFonts w:hint="eastAsia" w:ascii="仿宋_GB2312" w:eastAsia="仿宋_GB2312"/>
          <w:sz w:val="32"/>
          <w:szCs w:val="32"/>
        </w:rPr>
        <w:t>特向社会公布淄博高新区</w:t>
      </w:r>
      <w:r>
        <w:rPr>
          <w:rFonts w:hint="eastAsia" w:ascii="仿宋_GB2312" w:eastAsia="仿宋_GB2312"/>
          <w:sz w:val="32"/>
          <w:szCs w:val="32"/>
          <w:lang w:eastAsia="zh-CN"/>
        </w:rPr>
        <w:t>工业信息化和商务局</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年政府信息公开工作年度报告。</w:t>
      </w:r>
      <w:r>
        <w:rPr>
          <w:rFonts w:ascii="仿宋_GB2312" w:eastAsia="仿宋_GB2312"/>
          <w:sz w:val="32"/>
          <w:szCs w:val="32"/>
        </w:rPr>
        <w:t>报告中所列数据的统计期限自20</w:t>
      </w:r>
      <w:r>
        <w:rPr>
          <w:rFonts w:hint="eastAsia" w:ascii="仿宋_GB2312" w:eastAsia="仿宋_GB2312"/>
          <w:sz w:val="32"/>
          <w:szCs w:val="32"/>
          <w:lang w:val="en-US" w:eastAsia="zh-CN"/>
        </w:rPr>
        <w:t>22</w:t>
      </w:r>
      <w:r>
        <w:rPr>
          <w:rFonts w:ascii="仿宋_GB2312" w:eastAsia="仿宋_GB2312"/>
          <w:sz w:val="32"/>
          <w:szCs w:val="32"/>
        </w:rPr>
        <w:t>年1月1日起至20</w:t>
      </w:r>
      <w:r>
        <w:rPr>
          <w:rFonts w:hint="eastAsia" w:ascii="仿宋_GB2312" w:eastAsia="仿宋_GB2312"/>
          <w:sz w:val="32"/>
          <w:szCs w:val="32"/>
          <w:lang w:val="en-US" w:eastAsia="zh-CN"/>
        </w:rPr>
        <w:t>22</w:t>
      </w:r>
      <w:r>
        <w:rPr>
          <w:rFonts w:ascii="仿宋_GB2312" w:eastAsia="仿宋_GB2312"/>
          <w:sz w:val="32"/>
          <w:szCs w:val="32"/>
        </w:rPr>
        <w:t>年12月31日止。本报告可在淄博高新区门户网站（</w:t>
      </w:r>
      <w:r>
        <w:rPr>
          <w:rFonts w:ascii="仿宋_GB2312" w:eastAsia="仿宋_GB2312"/>
          <w:sz w:val="32"/>
          <w:szCs w:val="32"/>
        </w:rPr>
        <w:fldChar w:fldCharType="begin"/>
      </w:r>
      <w:r>
        <w:rPr>
          <w:rFonts w:ascii="仿宋_GB2312" w:eastAsia="仿宋_GB2312"/>
          <w:sz w:val="32"/>
          <w:szCs w:val="32"/>
        </w:rPr>
        <w:instrText xml:space="preserve"> INCLUDEPICTURE "C:\\Users\\Administrator\\AppData\\Roaming\\Tencent\\QQ\\Temp\\%W@GJ$ACOF(TYDYECOKVDYB.png" \* MERGEFORMATINET </w:instrText>
      </w:r>
      <w:r>
        <w:rPr>
          <w:rFonts w:ascii="仿宋_GB2312" w:eastAsia="仿宋_GB2312"/>
          <w:sz w:val="32"/>
          <w:szCs w:val="32"/>
        </w:rPr>
        <w:fldChar w:fldCharType="separate"/>
      </w:r>
      <w:r>
        <w:rPr>
          <w:rFonts w:ascii="仿宋_GB2312" w:eastAsia="仿宋_GB2312"/>
          <w:sz w:val="32"/>
          <w:szCs w:val="32"/>
        </w:rPr>
        <w:drawing>
          <wp:inline distT="0" distB="0" distL="114300" distR="114300">
            <wp:extent cx="189230" cy="142875"/>
            <wp:effectExtent l="0" t="0" r="1270" b="9525"/>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pic:cNvPicPr>
                  </pic:nvPicPr>
                  <pic:blipFill>
                    <a:blip r:embed="rId4"/>
                    <a:stretch>
                      <a:fillRect/>
                    </a:stretch>
                  </pic:blipFill>
                  <pic:spPr>
                    <a:xfrm>
                      <a:off x="0" y="0"/>
                      <a:ext cx="189230" cy="142875"/>
                    </a:xfrm>
                    <a:prstGeom prst="rect">
                      <a:avLst/>
                    </a:prstGeom>
                    <a:noFill/>
                    <a:ln>
                      <a:noFill/>
                    </a:ln>
                  </pic:spPr>
                </pic:pic>
              </a:graphicData>
            </a:graphic>
          </wp:inline>
        </w:drawing>
      </w:r>
      <w:r>
        <w:rPr>
          <w:rFonts w:ascii="仿宋_GB2312" w:eastAsia="仿宋_GB2312"/>
          <w:sz w:val="32"/>
          <w:szCs w:val="32"/>
        </w:rPr>
        <w:fldChar w:fldCharType="end"/>
      </w:r>
      <w:r>
        <w:rPr>
          <w:rFonts w:ascii="仿宋_GB2312" w:eastAsia="仿宋_GB2312"/>
          <w:sz w:val="32"/>
          <w:szCs w:val="32"/>
        </w:rPr>
        <w:t>http://www.china-zibo.gov.cn）下载。如对本报告有任何疑问，请与</w:t>
      </w:r>
      <w:r>
        <w:rPr>
          <w:rFonts w:hint="eastAsia" w:ascii="仿宋_GB2312" w:eastAsia="仿宋_GB2312"/>
          <w:sz w:val="32"/>
          <w:szCs w:val="32"/>
        </w:rPr>
        <w:t>高新区</w:t>
      </w:r>
      <w:r>
        <w:rPr>
          <w:rFonts w:hint="eastAsia" w:ascii="仿宋_GB2312" w:eastAsia="仿宋_GB2312"/>
          <w:sz w:val="32"/>
          <w:szCs w:val="32"/>
          <w:lang w:eastAsia="zh-CN"/>
        </w:rPr>
        <w:t>工业信息化和和商务</w:t>
      </w:r>
      <w:r>
        <w:rPr>
          <w:rFonts w:hint="eastAsia" w:ascii="仿宋_GB2312" w:eastAsia="仿宋_GB2312"/>
          <w:sz w:val="32"/>
          <w:szCs w:val="32"/>
        </w:rPr>
        <w:t>局综合科</w:t>
      </w:r>
      <w:r>
        <w:rPr>
          <w:rFonts w:ascii="仿宋_GB2312" w:eastAsia="仿宋_GB2312"/>
          <w:sz w:val="32"/>
          <w:szCs w:val="32"/>
        </w:rPr>
        <w:t>联系（地址</w:t>
      </w:r>
      <w:r>
        <w:rPr>
          <w:rFonts w:hint="eastAsia" w:ascii="仿宋_GB2312" w:eastAsia="仿宋_GB2312"/>
          <w:sz w:val="32"/>
          <w:szCs w:val="32"/>
        </w:rPr>
        <w:t>：淄博市1</w:t>
      </w:r>
      <w:r>
        <w:rPr>
          <w:rFonts w:hint="eastAsia" w:ascii="仿宋_GB2312" w:eastAsia="仿宋_GB2312"/>
          <w:sz w:val="32"/>
          <w:szCs w:val="32"/>
          <w:lang w:val="en-US" w:eastAsia="zh-CN"/>
        </w:rPr>
        <w:t>11</w:t>
      </w:r>
      <w:r>
        <w:rPr>
          <w:rFonts w:hint="eastAsia" w:ascii="仿宋_GB2312" w:eastAsia="仿宋_GB2312"/>
          <w:sz w:val="32"/>
          <w:szCs w:val="32"/>
        </w:rPr>
        <w:t>号火炬</w:t>
      </w:r>
      <w:r>
        <w:rPr>
          <w:rFonts w:hint="eastAsia" w:ascii="仿宋_GB2312" w:eastAsia="仿宋_GB2312"/>
          <w:sz w:val="32"/>
          <w:szCs w:val="32"/>
          <w:lang w:eastAsia="zh-CN"/>
        </w:rPr>
        <w:t>广场</w:t>
      </w:r>
      <w:r>
        <w:rPr>
          <w:rFonts w:hint="eastAsia" w:ascii="仿宋_GB2312" w:eastAsia="仿宋_GB2312"/>
          <w:sz w:val="32"/>
          <w:szCs w:val="32"/>
          <w:lang w:val="en-US" w:eastAsia="zh-CN"/>
        </w:rPr>
        <w:t>F座10楼1018室</w:t>
      </w:r>
      <w:r>
        <w:rPr>
          <w:rFonts w:ascii="仿宋_GB2312" w:eastAsia="仿宋_GB2312"/>
          <w:sz w:val="32"/>
          <w:szCs w:val="32"/>
        </w:rPr>
        <w:t>；联系电话</w:t>
      </w:r>
      <w:r>
        <w:rPr>
          <w:rFonts w:hint="eastAsia" w:ascii="仿宋_GB2312" w:eastAsia="仿宋_GB2312"/>
          <w:sz w:val="32"/>
          <w:szCs w:val="32"/>
        </w:rPr>
        <w:t>：0533-358</w:t>
      </w:r>
      <w:r>
        <w:rPr>
          <w:rFonts w:hint="eastAsia" w:ascii="仿宋_GB2312" w:eastAsia="仿宋_GB2312"/>
          <w:sz w:val="32"/>
          <w:szCs w:val="32"/>
          <w:lang w:val="en-US" w:eastAsia="zh-CN"/>
        </w:rPr>
        <w:t>6373，</w:t>
      </w:r>
      <w:r>
        <w:rPr>
          <w:rFonts w:hint="eastAsia" w:ascii="仿宋_GB2312" w:eastAsia="仿宋_GB2312"/>
          <w:sz w:val="32"/>
          <w:szCs w:val="32"/>
        </w:rPr>
        <w:t>电子邮箱</w:t>
      </w:r>
      <w:r>
        <w:rPr>
          <w:rFonts w:hint="eastAsia" w:ascii="仿宋_GB2312" w:eastAsia="仿宋_GB2312"/>
          <w:sz w:val="32"/>
          <w:szCs w:val="32"/>
          <w:lang w:eastAsia="zh-CN"/>
        </w:rPr>
        <w:t>：</w:t>
      </w:r>
      <w:r>
        <w:rPr>
          <w:rFonts w:ascii="仿宋_GB2312" w:eastAsia="仿宋_GB2312"/>
          <w:bCs/>
          <w:sz w:val="28"/>
          <w:szCs w:val="28"/>
        </w:rPr>
        <w:t>gxq</w:t>
      </w:r>
      <w:r>
        <w:rPr>
          <w:rFonts w:hint="eastAsia" w:ascii="仿宋_GB2312" w:eastAsia="仿宋_GB2312"/>
          <w:bCs/>
          <w:sz w:val="28"/>
          <w:szCs w:val="28"/>
          <w:lang w:val="en-US" w:eastAsia="zh-CN"/>
        </w:rPr>
        <w:t>gyxxhhswj</w:t>
      </w:r>
      <w:r>
        <w:rPr>
          <w:rFonts w:ascii="仿宋_GB2312" w:eastAsia="仿宋_GB2312"/>
          <w:bCs/>
          <w:sz w:val="28"/>
          <w:szCs w:val="28"/>
        </w:rPr>
        <w:t>@zb.shandong.cn</w:t>
      </w:r>
      <w:r>
        <w:rPr>
          <w:rFonts w:ascii="仿宋_GB2312" w:eastAsia="仿宋_GB2312"/>
          <w:sz w:val="32"/>
          <w:szCs w:val="32"/>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ascii="仿宋_GB2312" w:hAnsi="宋体" w:eastAsia="仿宋_GB2312" w:cs="仿宋_GB2312"/>
          <w:i w:val="0"/>
          <w:iCs w:val="0"/>
          <w:caps w:val="0"/>
          <w:color w:val="000000"/>
          <w:spacing w:val="0"/>
          <w:sz w:val="31"/>
          <w:szCs w:val="31"/>
          <w:shd w:val="clear" w:fill="FFFFFF"/>
        </w:rPr>
        <w:t>淄博高新区</w:t>
      </w:r>
      <w:r>
        <w:rPr>
          <w:rFonts w:hint="eastAsia" w:ascii="仿宋_GB2312" w:hAnsi="宋体" w:eastAsia="仿宋_GB2312" w:cs="仿宋_GB2312"/>
          <w:i w:val="0"/>
          <w:iCs w:val="0"/>
          <w:caps w:val="0"/>
          <w:color w:val="000000"/>
          <w:spacing w:val="0"/>
          <w:sz w:val="31"/>
          <w:szCs w:val="31"/>
          <w:shd w:val="clear" w:fill="FFFFFF"/>
          <w:lang w:eastAsia="zh-CN"/>
        </w:rPr>
        <w:t>工业信息化和商务局</w:t>
      </w:r>
      <w:r>
        <w:rPr>
          <w:rFonts w:hint="eastAsia" w:ascii="仿宋_GB2312" w:hAnsi="宋体" w:eastAsia="仿宋_GB2312" w:cs="仿宋_GB2312"/>
          <w:i w:val="0"/>
          <w:iCs w:val="0"/>
          <w:caps w:val="0"/>
          <w:color w:val="000000"/>
          <w:spacing w:val="0"/>
          <w:sz w:val="31"/>
          <w:szCs w:val="31"/>
          <w:shd w:val="clear" w:fill="FFFFFF"/>
        </w:rPr>
        <w:t>高度重视信息公开工作，认真推进行政决策公开、执行公开、服务公开和结果公开，认真贯彻落实《中华人民共和国政府信息公开条例》扎实推进政府信息公开的各项工作，有力推动了政务信息公开工作规范化、制度化运行。现将有关情况报告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（一）主动公开情况。及时调整政府信息公开工作领导小组，定期更新主动公开基本目录，健全完善主动公开制度、针对重要会议进行及时公开并多形式解读。202</w:t>
      </w:r>
      <w:r>
        <w:rPr>
          <w:rFonts w:hint="eastAsia" w:ascii="仿宋_GB2312" w:hAnsi="宋体" w:eastAsia="仿宋_GB2312" w:cs="仿宋_GB2312"/>
          <w:i w:val="0"/>
          <w:iCs w:val="0"/>
          <w:caps w:val="0"/>
          <w:color w:val="000000"/>
          <w:spacing w:val="0"/>
          <w:sz w:val="31"/>
          <w:szCs w:val="31"/>
          <w:shd w:val="clear" w:fill="FFFFFF"/>
          <w:lang w:val="en-US" w:eastAsia="zh-CN"/>
        </w:rPr>
        <w:t>2</w:t>
      </w:r>
      <w:r>
        <w:rPr>
          <w:rFonts w:hint="eastAsia" w:ascii="仿宋_GB2312" w:hAnsi="宋体" w:eastAsia="仿宋_GB2312" w:cs="仿宋_GB2312"/>
          <w:i w:val="0"/>
          <w:iCs w:val="0"/>
          <w:caps w:val="0"/>
          <w:color w:val="000000"/>
          <w:spacing w:val="0"/>
          <w:sz w:val="31"/>
          <w:szCs w:val="31"/>
          <w:shd w:val="clear" w:fill="FFFFFF"/>
        </w:rPr>
        <w:t>年，淄博高新区</w:t>
      </w:r>
      <w:r>
        <w:rPr>
          <w:rFonts w:hint="eastAsia" w:ascii="仿宋_GB2312" w:hAnsi="宋体" w:eastAsia="仿宋_GB2312" w:cs="仿宋_GB2312"/>
          <w:i w:val="0"/>
          <w:iCs w:val="0"/>
          <w:caps w:val="0"/>
          <w:color w:val="000000"/>
          <w:spacing w:val="0"/>
          <w:sz w:val="31"/>
          <w:szCs w:val="31"/>
          <w:shd w:val="clear" w:fill="FFFFFF"/>
          <w:lang w:eastAsia="zh-CN"/>
        </w:rPr>
        <w:t>工业信息化和商务局</w:t>
      </w:r>
      <w:r>
        <w:rPr>
          <w:rFonts w:hint="eastAsia" w:ascii="仿宋_GB2312" w:hAnsi="宋体" w:eastAsia="仿宋_GB2312" w:cs="仿宋_GB2312"/>
          <w:i w:val="0"/>
          <w:iCs w:val="0"/>
          <w:caps w:val="0"/>
          <w:color w:val="000000"/>
          <w:spacing w:val="0"/>
          <w:sz w:val="31"/>
          <w:szCs w:val="31"/>
          <w:shd w:val="clear" w:fill="FFFFFF"/>
        </w:rPr>
        <w:t>共主动公开政府信息</w:t>
      </w:r>
      <w:r>
        <w:rPr>
          <w:rFonts w:hint="eastAsia" w:ascii="仿宋_GB2312" w:hAnsi="宋体" w:eastAsia="仿宋_GB2312" w:cs="仿宋_GB2312"/>
          <w:i w:val="0"/>
          <w:iCs w:val="0"/>
          <w:caps w:val="0"/>
          <w:color w:val="000000"/>
          <w:spacing w:val="0"/>
          <w:sz w:val="31"/>
          <w:szCs w:val="31"/>
          <w:shd w:val="clear" w:fill="FFFFFF"/>
          <w:lang w:val="en-US" w:eastAsia="zh-CN"/>
        </w:rPr>
        <w:t>78</w:t>
      </w:r>
      <w:r>
        <w:rPr>
          <w:rFonts w:hint="eastAsia" w:ascii="仿宋_GB2312" w:hAnsi="宋体" w:eastAsia="仿宋_GB2312" w:cs="仿宋_GB2312"/>
          <w:i w:val="0"/>
          <w:iCs w:val="0"/>
          <w:caps w:val="0"/>
          <w:color w:val="000000"/>
          <w:spacing w:val="0"/>
          <w:sz w:val="31"/>
          <w:szCs w:val="31"/>
          <w:shd w:val="clear" w:fill="FFFFFF"/>
        </w:rPr>
        <w:t>条。其中，信息公开指南1条、财政预决算信息2条、</w:t>
      </w:r>
      <w:r>
        <w:rPr>
          <w:rFonts w:hint="eastAsia" w:ascii="仿宋_GB2312" w:hAnsi="宋体" w:eastAsia="仿宋_GB2312" w:cs="仿宋_GB2312"/>
          <w:i w:val="0"/>
          <w:iCs w:val="0"/>
          <w:caps w:val="0"/>
          <w:color w:val="000000"/>
          <w:spacing w:val="0"/>
          <w:sz w:val="31"/>
          <w:szCs w:val="31"/>
          <w:shd w:val="clear" w:fill="FFFFFF"/>
          <w:lang w:eastAsia="zh-CN"/>
        </w:rPr>
        <w:t>检查结果</w:t>
      </w:r>
      <w:r>
        <w:rPr>
          <w:rFonts w:hint="eastAsia" w:ascii="仿宋_GB2312" w:hAnsi="宋体" w:eastAsia="仿宋_GB2312" w:cs="仿宋_GB2312"/>
          <w:i w:val="0"/>
          <w:iCs w:val="0"/>
          <w:caps w:val="0"/>
          <w:color w:val="000000"/>
          <w:spacing w:val="0"/>
          <w:sz w:val="31"/>
          <w:szCs w:val="31"/>
          <w:shd w:val="clear" w:fill="FFFFFF"/>
          <w:lang w:val="en-US" w:eastAsia="zh-CN"/>
        </w:rPr>
        <w:t>3条</w:t>
      </w:r>
      <w:r>
        <w:rPr>
          <w:rFonts w:hint="eastAsia" w:ascii="仿宋_GB2312" w:hAnsi="宋体" w:eastAsia="仿宋_GB2312" w:cs="仿宋_GB2312"/>
          <w:i w:val="0"/>
          <w:iCs w:val="0"/>
          <w:caps w:val="0"/>
          <w:color w:val="000000"/>
          <w:spacing w:val="0"/>
          <w:sz w:val="31"/>
          <w:szCs w:val="31"/>
          <w:shd w:val="clear" w:fill="FFFFFF"/>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（二）依申请公开情况。2022年度，我部门未收到政府信息公开申请，结转上年度1件信息公开申请，依法依规进行答复。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三）政府信息管理情况。不断建立健全政府信息制作、公开、存档等制度，对发布信息实行审核制度，做到规范管理。文件拟稿纸均设有公开属性选项，文件正文均在固定位置标注公开属性。进一步规范信息公开保密审核，严格保密审查，确保不发生信息安全事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（四）政府信息公开平台建设情况。</w:t>
      </w:r>
      <w:r>
        <w:rPr>
          <w:rFonts w:hint="eastAsia" w:ascii="仿宋_GB2312" w:hAnsi="宋体" w:eastAsia="仿宋_GB2312" w:cs="仿宋_GB2312"/>
          <w:i w:val="0"/>
          <w:iCs w:val="0"/>
          <w:caps w:val="0"/>
          <w:color w:val="000000"/>
          <w:spacing w:val="0"/>
          <w:sz w:val="31"/>
          <w:szCs w:val="31"/>
          <w:shd w:val="clear" w:fill="FFFFFF"/>
          <w:lang w:val="en-US" w:eastAsia="zh-CN"/>
        </w:rPr>
        <w:t>2022年度及时更新政务采购相关栏目，确保全面准确公开。同时，</w:t>
      </w:r>
      <w:r>
        <w:rPr>
          <w:rFonts w:hint="eastAsia" w:ascii="仿宋_GB2312" w:hAnsi="宋体" w:eastAsia="仿宋_GB2312" w:cs="仿宋_GB2312"/>
          <w:i w:val="0"/>
          <w:iCs w:val="0"/>
          <w:caps w:val="0"/>
          <w:color w:val="000000"/>
          <w:spacing w:val="0"/>
          <w:sz w:val="31"/>
          <w:szCs w:val="31"/>
          <w:shd w:val="clear" w:fill="FFFFFF"/>
        </w:rPr>
        <w:t>在</w:t>
      </w:r>
      <w:r>
        <w:rPr>
          <w:rFonts w:hint="eastAsia" w:ascii="仿宋_GB2312" w:hAnsi="宋体" w:eastAsia="仿宋_GB2312" w:cs="仿宋_GB2312"/>
          <w:i w:val="0"/>
          <w:iCs w:val="0"/>
          <w:caps w:val="0"/>
          <w:color w:val="000000"/>
          <w:spacing w:val="0"/>
          <w:sz w:val="31"/>
          <w:szCs w:val="31"/>
          <w:shd w:val="clear" w:fill="FFFFFF"/>
          <w:lang w:eastAsia="zh-CN"/>
        </w:rPr>
        <w:t>山东</w:t>
      </w:r>
      <w:r>
        <w:rPr>
          <w:rFonts w:hint="eastAsia" w:ascii="仿宋_GB2312" w:hAnsi="宋体" w:eastAsia="仿宋_GB2312" w:cs="仿宋_GB2312"/>
          <w:i w:val="0"/>
          <w:iCs w:val="0"/>
          <w:caps w:val="0"/>
          <w:color w:val="000000"/>
          <w:spacing w:val="0"/>
          <w:sz w:val="31"/>
          <w:szCs w:val="31"/>
          <w:shd w:val="clear" w:fill="FFFFFF"/>
        </w:rPr>
        <w:t>政务服务网上对我</w:t>
      </w:r>
      <w:r>
        <w:rPr>
          <w:rFonts w:hint="eastAsia" w:ascii="仿宋_GB2312" w:hAnsi="宋体" w:eastAsia="仿宋_GB2312" w:cs="仿宋_GB2312"/>
          <w:i w:val="0"/>
          <w:iCs w:val="0"/>
          <w:caps w:val="0"/>
          <w:color w:val="000000"/>
          <w:spacing w:val="0"/>
          <w:sz w:val="31"/>
          <w:szCs w:val="31"/>
          <w:shd w:val="clear" w:fill="FFFFFF"/>
          <w:lang w:eastAsia="zh-CN"/>
        </w:rPr>
        <w:t>局</w:t>
      </w:r>
      <w:r>
        <w:rPr>
          <w:rFonts w:hint="eastAsia" w:ascii="仿宋_GB2312" w:hAnsi="宋体" w:eastAsia="仿宋_GB2312" w:cs="仿宋_GB2312"/>
          <w:i w:val="0"/>
          <w:iCs w:val="0"/>
          <w:caps w:val="0"/>
          <w:color w:val="000000"/>
          <w:spacing w:val="0"/>
          <w:sz w:val="31"/>
          <w:szCs w:val="31"/>
          <w:shd w:val="clear" w:fill="FFFFFF"/>
        </w:rPr>
        <w:t>的办事服务事项进行一站式公开，按照统一格式标明每个服务事项网上办理</w:t>
      </w:r>
      <w:r>
        <w:rPr>
          <w:rFonts w:hint="eastAsia" w:ascii="仿宋_GB2312" w:hAnsi="宋体" w:eastAsia="仿宋_GB2312" w:cs="仿宋_GB2312"/>
          <w:i w:val="0"/>
          <w:iCs w:val="0"/>
          <w:caps w:val="0"/>
          <w:color w:val="000000"/>
          <w:spacing w:val="0"/>
          <w:sz w:val="31"/>
          <w:szCs w:val="31"/>
          <w:shd w:val="clear" w:fill="FFFFFF"/>
          <w:lang w:eastAsia="zh-CN"/>
        </w:rPr>
        <w:t>进度</w:t>
      </w:r>
      <w:r>
        <w:rPr>
          <w:rFonts w:hint="eastAsia" w:ascii="仿宋_GB2312" w:hAnsi="宋体" w:eastAsia="仿宋_GB2312" w:cs="仿宋_GB2312"/>
          <w:i w:val="0"/>
          <w:iCs w:val="0"/>
          <w:caps w:val="0"/>
          <w:color w:val="000000"/>
          <w:spacing w:val="0"/>
          <w:sz w:val="31"/>
          <w:szCs w:val="31"/>
          <w:shd w:val="clear" w:fill="FFFFFF"/>
        </w:rPr>
        <w:t>、到现场次数，办事指南、</w:t>
      </w:r>
      <w:r>
        <w:rPr>
          <w:rFonts w:hint="eastAsia" w:ascii="仿宋_GB2312" w:hAnsi="宋体" w:eastAsia="仿宋_GB2312" w:cs="仿宋_GB2312"/>
          <w:i w:val="0"/>
          <w:iCs w:val="0"/>
          <w:caps w:val="0"/>
          <w:color w:val="000000"/>
          <w:spacing w:val="0"/>
          <w:sz w:val="31"/>
          <w:szCs w:val="31"/>
          <w:shd w:val="clear" w:fill="FFFFFF"/>
          <w:lang w:eastAsia="zh-CN"/>
        </w:rPr>
        <w:t>办事流</w:t>
      </w:r>
      <w:r>
        <w:rPr>
          <w:rFonts w:hint="eastAsia" w:ascii="仿宋_GB2312" w:hAnsi="宋体" w:eastAsia="仿宋_GB2312" w:cs="仿宋_GB2312"/>
          <w:i w:val="0"/>
          <w:iCs w:val="0"/>
          <w:caps w:val="0"/>
          <w:color w:val="000000"/>
          <w:spacing w:val="0"/>
          <w:sz w:val="31"/>
          <w:szCs w:val="31"/>
          <w:shd w:val="clear" w:fill="FFFFFF"/>
        </w:rPr>
        <w:t>等资源。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五）监督保障情况。对公开信息依法依规进行审查，由各分管领导对内容进行审核把关，确保公开信息准确规范。同时，对工作职责、办公地址、联系方式等内容进行公开，及时更新相关工作事项进展，确保监督保障渠道畅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二、主动公开政府信息情况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仿宋_GB2312" w:hAnsi="宋体" w:eastAsia="仿宋_GB2312" w:cs="仿宋_GB2312"/>
          <w:i w:val="0"/>
          <w:iCs w:val="0"/>
          <w:caps w:val="0"/>
          <w:color w:val="000000"/>
          <w:spacing w:val="0"/>
          <w:sz w:val="32"/>
          <w:szCs w:val="32"/>
          <w:shd w:val="clear" w:fill="FFFFFF"/>
          <w:lang w:eastAsia="zh-CN"/>
        </w:rPr>
        <w:t>淄博高新区工业信息化和商务局202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年公开各类政务信息</w:t>
      </w:r>
      <w:r>
        <w:rPr>
          <w:rFonts w:hint="eastAsia" w:ascii="仿宋_GB2312" w:hAnsi="宋体" w:eastAsia="仿宋_GB2312" w:cs="仿宋_GB2312"/>
          <w:i w:val="0"/>
          <w:iCs w:val="0"/>
          <w:caps w:val="0"/>
          <w:color w:val="000000"/>
          <w:spacing w:val="0"/>
          <w:sz w:val="32"/>
          <w:szCs w:val="32"/>
          <w:shd w:val="clear" w:fill="FFFFFF"/>
          <w:lang w:val="en-US" w:eastAsia="zh-CN"/>
        </w:rPr>
        <w:t>78</w:t>
      </w:r>
      <w:r>
        <w:rPr>
          <w:rFonts w:hint="eastAsia" w:ascii="仿宋_GB2312" w:hAnsi="宋体" w:eastAsia="仿宋_GB2312" w:cs="仿宋_GB2312"/>
          <w:i w:val="0"/>
          <w:iCs w:val="0"/>
          <w:caps w:val="0"/>
          <w:color w:val="000000"/>
          <w:spacing w:val="0"/>
          <w:sz w:val="32"/>
          <w:szCs w:val="32"/>
          <w:shd w:val="clear" w:fill="FFFFFF"/>
          <w:lang w:eastAsia="zh-CN"/>
        </w:rPr>
        <w:t>条，主动公开了202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年财政预算和</w:t>
      </w:r>
      <w:r>
        <w:rPr>
          <w:rFonts w:hint="eastAsia" w:ascii="仿宋_GB2312" w:hAnsi="宋体" w:eastAsia="仿宋_GB2312" w:cs="仿宋_GB2312"/>
          <w:i w:val="0"/>
          <w:iCs w:val="0"/>
          <w:caps w:val="0"/>
          <w:color w:val="000000"/>
          <w:spacing w:val="0"/>
          <w:sz w:val="32"/>
          <w:szCs w:val="32"/>
          <w:shd w:val="clear" w:fill="FFFFFF"/>
          <w:lang w:val="en-US" w:eastAsia="zh-CN"/>
        </w:rPr>
        <w:t>2022年政府采购</w:t>
      </w:r>
      <w:r>
        <w:rPr>
          <w:rFonts w:hint="eastAsia" w:ascii="仿宋_GB2312" w:hAnsi="宋体" w:eastAsia="仿宋_GB2312" w:cs="仿宋_GB2312"/>
          <w:i w:val="0"/>
          <w:iCs w:val="0"/>
          <w:caps w:val="0"/>
          <w:color w:val="000000"/>
          <w:spacing w:val="0"/>
          <w:sz w:val="32"/>
          <w:szCs w:val="32"/>
          <w:shd w:val="clear" w:fill="FFFFFF"/>
          <w:lang w:eastAsia="zh-CN"/>
        </w:rPr>
        <w:t>、项目申报、表彰奖励、计划总结、工作动态、各类业务通知等方面的内容。</w:t>
      </w:r>
    </w:p>
    <w:tbl>
      <w:tblPr>
        <w:tblStyle w:val="4"/>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2070"/>
        <w:gridCol w:w="2205"/>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9"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32"/>
                <w:szCs w:val="32"/>
                <w:shd w:val="clear" w:fill="FFFFFF"/>
                <w:vertAlign w:val="baseline"/>
                <w:lang w:eastAsia="zh-CN"/>
              </w:rPr>
            </w:pPr>
            <w:r>
              <w:rPr>
                <w:rFonts w:hint="eastAsia" w:ascii="仿宋_GB2312" w:hAnsi="仿宋_GB2312" w:eastAsia="仿宋_GB2312" w:cs="仿宋_GB2312"/>
                <w:i w:val="0"/>
                <w:iCs w:val="0"/>
                <w:caps w:val="0"/>
                <w:color w:val="000000"/>
                <w:spacing w:val="0"/>
                <w:sz w:val="28"/>
                <w:szCs w:val="28"/>
                <w:shd w:val="clear" w:fill="FFFFFF"/>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信息内容</w:t>
            </w:r>
          </w:p>
        </w:tc>
        <w:tc>
          <w:tcPr>
            <w:tcW w:w="2070"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本年制发件数</w:t>
            </w:r>
          </w:p>
        </w:tc>
        <w:tc>
          <w:tcPr>
            <w:tcW w:w="22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本年废止件数</w:t>
            </w:r>
          </w:p>
        </w:tc>
        <w:tc>
          <w:tcPr>
            <w:tcW w:w="217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规章</w:t>
            </w:r>
          </w:p>
        </w:tc>
        <w:tc>
          <w:tcPr>
            <w:tcW w:w="2070"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c>
          <w:tcPr>
            <w:tcW w:w="22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c>
          <w:tcPr>
            <w:tcW w:w="217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规范性文件</w:t>
            </w:r>
          </w:p>
        </w:tc>
        <w:tc>
          <w:tcPr>
            <w:tcW w:w="2070"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c>
          <w:tcPr>
            <w:tcW w:w="220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1</w:t>
            </w:r>
          </w:p>
        </w:tc>
        <w:tc>
          <w:tcPr>
            <w:tcW w:w="2175"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9"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rPr>
              <w:t>第二十条第（</w:t>
            </w:r>
            <w:r>
              <w:rPr>
                <w:rFonts w:hint="eastAsia" w:ascii="仿宋_GB2312" w:hAnsi="仿宋_GB2312" w:eastAsia="仿宋_GB2312" w:cs="仿宋_GB2312"/>
                <w:i w:val="0"/>
                <w:iCs w:val="0"/>
                <w:caps w:val="0"/>
                <w:color w:val="000000"/>
                <w:spacing w:val="0"/>
                <w:sz w:val="28"/>
                <w:szCs w:val="28"/>
                <w:shd w:val="clear" w:fill="FFFFFF"/>
                <w:lang w:eastAsia="zh-CN"/>
              </w:rPr>
              <w:t>五</w:t>
            </w:r>
            <w:r>
              <w:rPr>
                <w:rFonts w:hint="eastAsia" w:ascii="仿宋_GB2312" w:hAnsi="仿宋_GB2312" w:eastAsia="仿宋_GB2312" w:cs="仿宋_GB2312"/>
                <w:i w:val="0"/>
                <w:iCs w:val="0"/>
                <w:caps w:val="0"/>
                <w:color w:val="000000"/>
                <w:spacing w:val="0"/>
                <w:sz w:val="28"/>
                <w:szCs w:val="28"/>
                <w:shd w:val="clear"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信息内容</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行政许可</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9"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rPr>
              <w:t>第二十条第（</w:t>
            </w:r>
            <w:r>
              <w:rPr>
                <w:rFonts w:hint="eastAsia" w:ascii="仿宋_GB2312" w:hAnsi="仿宋_GB2312" w:eastAsia="仿宋_GB2312" w:cs="仿宋_GB2312"/>
                <w:i w:val="0"/>
                <w:iCs w:val="0"/>
                <w:caps w:val="0"/>
                <w:color w:val="000000"/>
                <w:spacing w:val="0"/>
                <w:sz w:val="28"/>
                <w:szCs w:val="28"/>
                <w:shd w:val="clear" w:fill="FFFFFF"/>
                <w:lang w:eastAsia="zh-CN"/>
              </w:rPr>
              <w:t>六</w:t>
            </w:r>
            <w:r>
              <w:rPr>
                <w:rFonts w:hint="eastAsia" w:ascii="仿宋_GB2312" w:hAnsi="仿宋_GB2312" w:eastAsia="仿宋_GB2312" w:cs="仿宋_GB2312"/>
                <w:i w:val="0"/>
                <w:iCs w:val="0"/>
                <w:caps w:val="0"/>
                <w:color w:val="000000"/>
                <w:spacing w:val="0"/>
                <w:sz w:val="28"/>
                <w:szCs w:val="28"/>
                <w:shd w:val="clear"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信息内容</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行政处罚</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行政强制</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9"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rPr>
              <w:t>第二十条第（</w:t>
            </w:r>
            <w:r>
              <w:rPr>
                <w:rFonts w:hint="eastAsia" w:ascii="仿宋_GB2312" w:hAnsi="仿宋_GB2312" w:eastAsia="仿宋_GB2312" w:cs="仿宋_GB2312"/>
                <w:i w:val="0"/>
                <w:iCs w:val="0"/>
                <w:caps w:val="0"/>
                <w:color w:val="000000"/>
                <w:spacing w:val="0"/>
                <w:sz w:val="28"/>
                <w:szCs w:val="28"/>
                <w:shd w:val="clear" w:fill="FFFFFF"/>
                <w:lang w:eastAsia="zh-CN"/>
              </w:rPr>
              <w:t>八</w:t>
            </w:r>
            <w:r>
              <w:rPr>
                <w:rFonts w:hint="eastAsia" w:ascii="仿宋_GB2312" w:hAnsi="仿宋_GB2312" w:eastAsia="仿宋_GB2312" w:cs="仿宋_GB2312"/>
                <w:i w:val="0"/>
                <w:iCs w:val="0"/>
                <w:caps w:val="0"/>
                <w:color w:val="000000"/>
                <w:spacing w:val="0"/>
                <w:sz w:val="28"/>
                <w:szCs w:val="28"/>
                <w:shd w:val="clear"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信息内容</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28"/>
                <w:szCs w:val="28"/>
                <w:shd w:val="clear" w:fill="FFFFFF"/>
                <w:vertAlign w:val="baseline"/>
                <w:lang w:val="en-US" w:eastAsia="zh-CN"/>
              </w:rPr>
            </w:pPr>
            <w:r>
              <w:rPr>
                <w:rFonts w:hint="eastAsia" w:ascii="仿宋_GB2312" w:hAnsi="宋体" w:eastAsia="仿宋_GB2312" w:cs="仿宋_GB2312"/>
                <w:i w:val="0"/>
                <w:iCs w:val="0"/>
                <w:caps w:val="0"/>
                <w:color w:val="000000"/>
                <w:spacing w:val="0"/>
                <w:sz w:val="28"/>
                <w:szCs w:val="28"/>
                <w:shd w:val="clear" w:fill="FFFFFF"/>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宋体" w:eastAsia="仿宋_GB2312" w:cs="仿宋_GB2312"/>
                <w:i w:val="0"/>
                <w:iCs w:val="0"/>
                <w:caps w:val="0"/>
                <w:color w:val="000000"/>
                <w:spacing w:val="0"/>
                <w:sz w:val="32"/>
                <w:szCs w:val="32"/>
                <w:shd w:val="clear" w:fill="FFFFFF"/>
                <w:vertAlign w:val="baseline"/>
                <w:lang w:eastAsia="zh-CN"/>
              </w:rPr>
            </w:pPr>
            <w:r>
              <w:rPr>
                <w:rFonts w:hint="eastAsia" w:ascii="仿宋_GB2312" w:hAnsi="宋体" w:eastAsia="仿宋_GB2312" w:cs="仿宋_GB2312"/>
                <w:i w:val="0"/>
                <w:iCs w:val="0"/>
                <w:caps w:val="0"/>
                <w:color w:val="000000"/>
                <w:spacing w:val="0"/>
                <w:sz w:val="28"/>
                <w:szCs w:val="28"/>
                <w:shd w:val="clear" w:fill="FFFFFF"/>
                <w:vertAlign w:val="baseline"/>
                <w:lang w:eastAsia="zh-CN"/>
              </w:rPr>
              <w:t>行政事业性收费</w:t>
            </w:r>
          </w:p>
        </w:tc>
        <w:tc>
          <w:tcPr>
            <w:tcW w:w="6450"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宋体" w:eastAsia="仿宋_GB2312" w:cs="仿宋_GB2312"/>
                <w:i w:val="0"/>
                <w:iCs w:val="0"/>
                <w:caps w:val="0"/>
                <w:color w:val="000000"/>
                <w:spacing w:val="0"/>
                <w:sz w:val="32"/>
                <w:szCs w:val="32"/>
                <w:shd w:val="clear" w:fill="FFFFFF"/>
                <w:vertAlign w:val="baseline"/>
                <w:lang w:val="en-US" w:eastAsia="zh-CN"/>
              </w:rPr>
            </w:pPr>
            <w:r>
              <w:rPr>
                <w:rFonts w:hint="eastAsia" w:ascii="仿宋_GB2312" w:hAnsi="宋体" w:eastAsia="仿宋_GB2312" w:cs="仿宋_GB2312"/>
                <w:i w:val="0"/>
                <w:iCs w:val="0"/>
                <w:caps w:val="0"/>
                <w:color w:val="000000"/>
                <w:spacing w:val="0"/>
                <w:sz w:val="32"/>
                <w:szCs w:val="32"/>
                <w:shd w:val="clear" w:fill="FFFFFF"/>
                <w:vertAlign w:val="baseline"/>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三、收到和处理政府信息公开申请情况</w:t>
      </w:r>
    </w:p>
    <w:tbl>
      <w:tblPr>
        <w:tblStyle w:val="3"/>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30"/>
        <w:gridCol w:w="1074"/>
        <w:gridCol w:w="3057"/>
        <w:gridCol w:w="552"/>
        <w:gridCol w:w="700"/>
        <w:gridCol w:w="700"/>
        <w:gridCol w:w="700"/>
        <w:gridCol w:w="700"/>
        <w:gridCol w:w="70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5" w:hRule="atLeast"/>
          <w:jc w:val="center"/>
        </w:trPr>
        <w:tc>
          <w:tcPr>
            <w:tcW w:w="4740" w:type="dxa"/>
            <w:gridSpan w:val="3"/>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楷体_GB2312" w:hAnsi="楷体_GB2312" w:eastAsia="楷体_GB2312" w:cs="楷体_GB2312"/>
              </w:rPr>
            </w:pPr>
            <w:r>
              <w:rPr>
                <w:rFonts w:hint="eastAsia" w:ascii="楷体_GB2312" w:hAnsi="楷体_GB2312" w:eastAsia="楷体_GB2312" w:cs="楷体_GB2312"/>
                <w:i w:val="0"/>
                <w:iCs w:val="0"/>
                <w:caps w:val="0"/>
                <w:color w:val="000000"/>
                <w:spacing w:val="0"/>
                <w:sz w:val="21"/>
                <w:szCs w:val="21"/>
              </w:rPr>
              <w:t>（本列数据的勾稽关系为：第一项加第二项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楷体_GB2312" w:hAnsi="楷体_GB2312" w:eastAsia="楷体_GB2312" w:cs="楷体_GB2312"/>
                <w:i w:val="0"/>
                <w:iCs w:val="0"/>
                <w:caps w:val="0"/>
                <w:color w:val="000000"/>
                <w:spacing w:val="0"/>
                <w:sz w:val="21"/>
                <w:szCs w:val="21"/>
              </w:rPr>
              <w:t>之和，等于第三项加第四项之和）</w:t>
            </w:r>
          </w:p>
        </w:tc>
        <w:tc>
          <w:tcPr>
            <w:tcW w:w="4890" w:type="dxa"/>
            <w:gridSpan w:val="7"/>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i w:val="0"/>
                <w:iCs w:val="0"/>
                <w:caps w:val="0"/>
                <w:color w:val="000000"/>
                <w:spacing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 w:hRule="atLeast"/>
          <w:jc w:val="center"/>
        </w:trPr>
        <w:tc>
          <w:tcPr>
            <w:tcW w:w="4740" w:type="dxa"/>
            <w:gridSpan w:val="3"/>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000000"/>
                <w:spacing w:val="0"/>
                <w:sz w:val="27"/>
                <w:szCs w:val="27"/>
              </w:rPr>
            </w:pPr>
          </w:p>
        </w:tc>
        <w:tc>
          <w:tcPr>
            <w:tcW w:w="555"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i w:val="0"/>
                <w:iCs w:val="0"/>
                <w:caps w:val="0"/>
                <w:color w:val="000000"/>
                <w:spacing w:val="0"/>
                <w:sz w:val="21"/>
                <w:szCs w:val="21"/>
              </w:rPr>
              <w:t>自然人</w:t>
            </w:r>
          </w:p>
        </w:tc>
        <w:tc>
          <w:tcPr>
            <w:tcW w:w="3495" w:type="dxa"/>
            <w:gridSpan w:val="5"/>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i w:val="0"/>
                <w:iCs w:val="0"/>
                <w:caps w:val="0"/>
                <w:color w:val="000000"/>
                <w:spacing w:val="0"/>
                <w:sz w:val="21"/>
                <w:szCs w:val="21"/>
              </w:rPr>
              <w:t>法人或其他组织</w:t>
            </w:r>
          </w:p>
        </w:tc>
        <w:tc>
          <w:tcPr>
            <w:tcW w:w="840"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eastAsia" w:ascii="宋体" w:hAnsi="宋体" w:eastAsia="宋体" w:cs="宋体"/>
                <w:i w:val="0"/>
                <w:iCs w:val="0"/>
                <w:caps w:val="0"/>
                <w:color w:val="000000"/>
                <w:spacing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30" w:hRule="atLeast"/>
          <w:jc w:val="center"/>
        </w:trPr>
        <w:tc>
          <w:tcPr>
            <w:tcW w:w="4740" w:type="dxa"/>
            <w:gridSpan w:val="3"/>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000000"/>
                <w:spacing w:val="0"/>
                <w:sz w:val="27"/>
                <w:szCs w:val="27"/>
              </w:rPr>
            </w:pPr>
          </w:p>
        </w:tc>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000000"/>
                <w:spacing w:val="0"/>
                <w:sz w:val="27"/>
                <w:szCs w:val="27"/>
              </w:rPr>
            </w:pP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商业企业</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科研机构</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社会公益组织</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法律服务机构</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其他</w:t>
            </w:r>
          </w:p>
        </w:tc>
        <w:tc>
          <w:tcPr>
            <w:tcW w:w="84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i w:val="0"/>
                <w:iCs w:val="0"/>
                <w:caps w:val="0"/>
                <w:color w:val="000000"/>
                <w:spacing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0" w:hRule="atLeast"/>
          <w:jc w:val="center"/>
        </w:trPr>
        <w:tc>
          <w:tcPr>
            <w:tcW w:w="4740" w:type="dxa"/>
            <w:gridSpan w:val="3"/>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一、本年新收政府信息公开申请数量</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仿宋_GB2312" w:cs="Times New Roman"/>
                <w:i w:val="0"/>
                <w:iCs w:val="0"/>
                <w:caps w:val="0"/>
                <w:color w:val="000000"/>
                <w:spacing w:val="0"/>
                <w:sz w:val="24"/>
                <w:szCs w:val="24"/>
                <w:lang w:val="en-US" w:eastAsia="zh-CN"/>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仿宋_GB2312" w:cs="Times New Roman"/>
                <w:i w:val="0"/>
                <w:iCs w:val="0"/>
                <w:caps w:val="0"/>
                <w:color w:val="000000"/>
                <w:spacing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jc w:val="center"/>
        </w:trPr>
        <w:tc>
          <w:tcPr>
            <w:tcW w:w="4740" w:type="dxa"/>
            <w:gridSpan w:val="3"/>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二、上年结转政府信息公开申请数量</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Times New Roman"/>
                <w:sz w:val="24"/>
                <w:szCs w:val="24"/>
                <w:lang w:eastAsia="zh-CN"/>
              </w:rPr>
            </w:pPr>
            <w:r>
              <w:rPr>
                <w:rFonts w:hint="eastAsia" w:eastAsia="仿宋_GB2312" w:cs="Times New Roman"/>
                <w:i w:val="0"/>
                <w:iCs w:val="0"/>
                <w:caps w:val="0"/>
                <w:color w:val="000000"/>
                <w:spacing w:val="0"/>
                <w:sz w:val="24"/>
                <w:szCs w:val="24"/>
                <w:lang w:val="en-US" w:eastAsia="zh-CN"/>
              </w:rPr>
              <w:t>1</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Times New Roman"/>
                <w:sz w:val="24"/>
                <w:szCs w:val="24"/>
                <w:lang w:eastAsia="zh-CN"/>
              </w:rPr>
            </w:pPr>
            <w:r>
              <w:rPr>
                <w:rFonts w:hint="eastAsia" w:eastAsia="仿宋_GB2312" w:cs="Times New Roman"/>
                <w:i w:val="0"/>
                <w:iCs w:val="0"/>
                <w:caps w:val="0"/>
                <w:color w:val="000000"/>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三、本年度办理结果</w:t>
            </w:r>
          </w:p>
        </w:tc>
        <w:tc>
          <w:tcPr>
            <w:tcW w:w="4185" w:type="dxa"/>
            <w:gridSpan w:val="2"/>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（一）予以公开</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宋体"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4185" w:type="dxa"/>
            <w:gridSpan w:val="2"/>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（二）部分公开（区分处理的，只计这一情形，不计其他情形）</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不予公开</w:t>
            </w: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1．属于国家秘密</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2．其他法律行政法规禁止公开</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3．危及“三安全一稳定”</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4．保护第三方合法权益</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5．属于三类内部事务信息</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6．属于四类过程性信息</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7．属于行政执法案卷</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8．属于行政查询事项</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无法提供</w:t>
            </w: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1．本机关不掌握相关政府信息</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2．没有现成信息需要另行制作</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3．补正后申请内容仍不明确</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5"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restart"/>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不予处理</w:t>
            </w: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1．信访举报投诉类申请</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2．重复申请</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3．要求提供公开出版物</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20" w:hRule="atLeast"/>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4．无正当理由大量反复申请</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55"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1080" w:type="dxa"/>
            <w:vMerge w:val="continue"/>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i w:val="0"/>
                <w:iCs w:val="0"/>
                <w:caps w:val="0"/>
                <w:color w:val="000000"/>
                <w:spacing w:val="0"/>
                <w:sz w:val="27"/>
                <w:szCs w:val="27"/>
              </w:rPr>
            </w:pPr>
          </w:p>
        </w:tc>
        <w:tc>
          <w:tcPr>
            <w:tcW w:w="31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5．要求行政机关确认或重新出具已获取信息</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 </w:t>
            </w:r>
          </w:p>
        </w:tc>
        <w:tc>
          <w:tcPr>
            <w:tcW w:w="4185" w:type="dxa"/>
            <w:gridSpan w:val="2"/>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（六）其他处理</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 </w:t>
            </w:r>
          </w:p>
        </w:tc>
        <w:tc>
          <w:tcPr>
            <w:tcW w:w="4185" w:type="dxa"/>
            <w:gridSpan w:val="2"/>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（七）总计</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Times New Roman"/>
                <w:sz w:val="24"/>
                <w:szCs w:val="24"/>
                <w:lang w:eastAsia="zh-CN"/>
              </w:rPr>
            </w:pPr>
            <w:r>
              <w:rPr>
                <w:rFonts w:hint="eastAsia" w:cs="Times New Roman"/>
                <w:i w:val="0"/>
                <w:iCs w:val="0"/>
                <w:caps w:val="0"/>
                <w:color w:val="000000"/>
                <w:spacing w:val="0"/>
                <w:sz w:val="24"/>
                <w:szCs w:val="24"/>
                <w:lang w:val="en-US" w:eastAsia="zh-CN"/>
              </w:rPr>
              <w:t>1</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宋体" w:cs="Times New Roman"/>
                <w:sz w:val="24"/>
                <w:szCs w:val="24"/>
                <w:lang w:eastAsia="zh-CN"/>
              </w:rPr>
            </w:pPr>
            <w:r>
              <w:rPr>
                <w:rFonts w:hint="eastAsia" w:cs="Times New Roman"/>
                <w:i w:val="0"/>
                <w:iCs w:val="0"/>
                <w:caps w:val="0"/>
                <w:color w:val="000000"/>
                <w:spacing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740" w:type="dxa"/>
            <w:gridSpan w:val="3"/>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宋体" w:hAnsi="宋体" w:eastAsia="宋体" w:cs="宋体"/>
              </w:rPr>
            </w:pPr>
            <w:r>
              <w:rPr>
                <w:rFonts w:hint="eastAsia" w:ascii="宋体" w:hAnsi="宋体" w:eastAsia="宋体" w:cs="宋体"/>
                <w:i w:val="0"/>
                <w:iCs w:val="0"/>
                <w:caps w:val="0"/>
                <w:color w:val="000000"/>
                <w:spacing w:val="0"/>
                <w:sz w:val="21"/>
                <w:szCs w:val="21"/>
              </w:rPr>
              <w:t>四、结转下年度继续办理</w:t>
            </w:r>
          </w:p>
        </w:tc>
        <w:tc>
          <w:tcPr>
            <w:tcW w:w="55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i w:val="0"/>
                <w:iCs w:val="0"/>
                <w:caps w:val="0"/>
                <w:color w:val="000000"/>
                <w:spacing w:val="0"/>
                <w:sz w:val="24"/>
                <w:szCs w:val="24"/>
                <w:lang w:val="en-US" w:eastAsia="zh-CN"/>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705"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0</w:t>
            </w:r>
          </w:p>
        </w:tc>
        <w:tc>
          <w:tcPr>
            <w:tcW w:w="840" w:type="dxa"/>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i w:val="0"/>
                <w:iCs w:val="0"/>
                <w:caps w:val="0"/>
                <w:color w:val="000000"/>
                <w:spacing w:val="0"/>
                <w:sz w:val="24"/>
                <w:szCs w:val="24"/>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shd w:val="clear" w:fill="FFFFFF"/>
        </w:rPr>
        <w:t>四、政府信息公开行政复议、行政诉讼情况</w:t>
      </w:r>
    </w:p>
    <w:tbl>
      <w:tblPr>
        <w:tblStyle w:val="3"/>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1"/>
        <w:gridCol w:w="656"/>
        <w:gridCol w:w="672"/>
        <w:gridCol w:w="642"/>
        <w:gridCol w:w="568"/>
        <w:gridCol w:w="672"/>
        <w:gridCol w:w="672"/>
        <w:gridCol w:w="672"/>
        <w:gridCol w:w="672"/>
        <w:gridCol w:w="538"/>
        <w:gridCol w:w="790"/>
        <w:gridCol w:w="612"/>
        <w:gridCol w:w="716"/>
        <w:gridCol w:w="672"/>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jc w:val="center"/>
        </w:trPr>
        <w:tc>
          <w:tcPr>
            <w:tcW w:w="321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行政复议</w:t>
            </w:r>
          </w:p>
        </w:tc>
        <w:tc>
          <w:tcPr>
            <w:tcW w:w="6420" w:type="dxa"/>
            <w:gridSpan w:val="10"/>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结果维持</w:t>
            </w:r>
          </w:p>
        </w:tc>
        <w:tc>
          <w:tcPr>
            <w:tcW w:w="660"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结果纠正</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其他结果</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尚未审结</w:t>
            </w:r>
          </w:p>
        </w:tc>
        <w:tc>
          <w:tcPr>
            <w:tcW w:w="570" w:type="dxa"/>
            <w:vMerge w:val="restart"/>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总计</w:t>
            </w:r>
          </w:p>
        </w:tc>
        <w:tc>
          <w:tcPr>
            <w:tcW w:w="321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未经复议直接起诉</w:t>
            </w:r>
          </w:p>
        </w:tc>
        <w:tc>
          <w:tcPr>
            <w:tcW w:w="321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7"/>
                <w:szCs w:val="27"/>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7"/>
                <w:szCs w:val="27"/>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7"/>
                <w:szCs w:val="27"/>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7"/>
                <w:szCs w:val="27"/>
              </w:rPr>
            </w:pPr>
          </w:p>
        </w:tc>
        <w:tc>
          <w:tcPr>
            <w:tcW w:w="570" w:type="dxa"/>
            <w:vMerge w:val="continue"/>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 w:val="0"/>
                <w:iCs w:val="0"/>
                <w:caps w:val="0"/>
                <w:color w:val="000000"/>
                <w:spacing w:val="0"/>
                <w:sz w:val="27"/>
                <w:szCs w:val="27"/>
              </w:rPr>
            </w:pP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结果维持</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结果纠正</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其他结果</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尚未审结</w:t>
            </w:r>
          </w:p>
        </w:tc>
        <w:tc>
          <w:tcPr>
            <w:tcW w:w="5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总计</w:t>
            </w:r>
          </w:p>
        </w:tc>
        <w:tc>
          <w:tcPr>
            <w:tcW w:w="7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结果维持</w:t>
            </w:r>
          </w:p>
        </w:tc>
        <w:tc>
          <w:tcPr>
            <w:tcW w:w="6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结果纠正</w:t>
            </w:r>
          </w:p>
        </w:tc>
        <w:tc>
          <w:tcPr>
            <w:tcW w:w="7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其他结果</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尚未审结</w:t>
            </w:r>
          </w:p>
        </w:tc>
        <w:tc>
          <w:tcPr>
            <w:tcW w:w="40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ascii="仿宋_GB2312" w:hAnsi="微软雅黑" w:eastAsia="仿宋_GB2312" w:cs="仿宋_GB2312"/>
                <w:i w:val="0"/>
                <w:iCs w:val="0"/>
                <w:caps w:val="0"/>
                <w:color w:val="000000"/>
                <w:spacing w:val="0"/>
                <w:sz w:val="24"/>
                <w:szCs w:val="24"/>
              </w:rPr>
              <w:t>0</w:t>
            </w:r>
          </w:p>
        </w:tc>
        <w:tc>
          <w:tcPr>
            <w:tcW w:w="66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4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57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1"/>
                <w:szCs w:val="21"/>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54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79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1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720"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67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4"/>
                <w:szCs w:val="24"/>
              </w:rPr>
              <w:t>0</w:t>
            </w:r>
          </w:p>
        </w:tc>
        <w:tc>
          <w:tcPr>
            <w:tcW w:w="405" w:type="dxa"/>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_GB2312" w:hAnsi="微软雅黑" w:eastAsia="仿宋_GB2312" w:cs="仿宋_GB2312"/>
                <w:i w:val="0"/>
                <w:iCs w:val="0"/>
                <w:caps w:val="0"/>
                <w:color w:val="000000"/>
                <w:spacing w:val="0"/>
                <w:sz w:val="21"/>
                <w:szCs w:val="21"/>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五、存在的主要问题及改进情况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202</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年，淄博高新区工业信息化和商务局政府信息公开工作虽然取得了一定成效，但还存在以下问题：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1.对上级部门政策转发不全面。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2.部门动态发布不及时甚至遗漏。有些部门动态已经通过其他新闻途径发布，但未在门户网站发布。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针对以上问题，我们采取了以下措施进行改进：</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多次组织局内部政务公开培训会议，</w:t>
      </w:r>
      <w:r>
        <w:rPr>
          <w:rFonts w:ascii="仿宋_GB2312" w:hAnsi="宋体" w:eastAsia="仿宋_GB2312" w:cs="仿宋_GB2312"/>
          <w:i w:val="0"/>
          <w:iCs w:val="0"/>
          <w:caps w:val="0"/>
          <w:color w:val="000000"/>
          <w:spacing w:val="0"/>
          <w:sz w:val="31"/>
          <w:szCs w:val="31"/>
          <w:shd w:val="clear" w:fill="FFFFFF"/>
        </w:rPr>
        <w:t>提高对政务公开工作重要性的认识，进一步增强工作的自觉性和主动性</w:t>
      </w:r>
      <w:r>
        <w:rPr>
          <w:rFonts w:hint="eastAsia" w:ascii="仿宋_GB2312" w:hAnsi="宋体" w:eastAsia="仿宋_GB2312" w:cs="仿宋_GB2312"/>
          <w:i w:val="0"/>
          <w:iCs w:val="0"/>
          <w:caps w:val="0"/>
          <w:color w:val="000000"/>
          <w:spacing w:val="0"/>
          <w:sz w:val="31"/>
          <w:szCs w:val="31"/>
          <w:shd w:val="clear" w:fill="FFFFFF"/>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明确工作责任，明确工作任务，确定责任科室和责任人。尤其是新网站使用后，要求工作人员凡是在新闻网站发布内容经审核后在门户网站补充发布。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一、本年度依申请公开，未收取任何信息处理费。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二、落实上年度政务公开工作要点情况：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（1）不断夯实政务公开工作基础。</w:t>
      </w:r>
      <w:r>
        <w:rPr>
          <w:rFonts w:hint="eastAsia" w:ascii="仿宋_GB2312" w:hAnsi="仿宋_GB2312" w:eastAsia="仿宋_GB2312" w:cs="仿宋_GB2312"/>
          <w:i w:val="0"/>
          <w:iCs w:val="0"/>
          <w:caps w:val="0"/>
          <w:color w:val="000000"/>
          <w:spacing w:val="0"/>
          <w:sz w:val="32"/>
          <w:szCs w:val="32"/>
          <w:shd w:val="clear" w:fill="FFFFFF"/>
          <w:lang w:val="en-US" w:eastAsia="zh-CN"/>
        </w:rPr>
        <w:t>全面推进规章、行政规范性文件、政策性文件集中统一公开，严格落实政府信息公开属性源头认定机制，做好政府信息公开保密审查。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（2）加强重点领域信息公开。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积极对接上级部门，做好相关政策、项目申报的宣传工作。及时更新完善权责清单和本级政府行政机关机构职能目录并按要求公开。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（3）强化工作保障和监督。</w:t>
      </w:r>
      <w:r>
        <w:rPr>
          <w:rFonts w:hint="eastAsia" w:ascii="仿宋_GB2312" w:hAnsi="仿宋_GB2312" w:eastAsia="仿宋_GB2312" w:cs="仿宋_GB2312"/>
          <w:i w:val="0"/>
          <w:iCs w:val="0"/>
          <w:caps w:val="0"/>
          <w:color w:val="000000"/>
          <w:spacing w:val="0"/>
          <w:sz w:val="32"/>
          <w:szCs w:val="32"/>
          <w:shd w:val="clear" w:fill="FFFFFF"/>
          <w:lang w:val="en-US" w:eastAsia="zh-CN"/>
        </w:rPr>
        <w:t>加强政务公开培训工作，完善政务公开审核发布机制，将相关工作纳入部门月度绩效考核。公布完善各类反馈投诉渠道，及时受理、查处、整改并回复当事人，并鼓励干部群众积极参与监督。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淄博高新区工业信息化和商务局</w:t>
      </w:r>
    </w:p>
    <w:p>
      <w:pPr>
        <w:keepNext w:val="0"/>
        <w:keepLines w:val="0"/>
        <w:pageBreakBefore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2023年1月20日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EADA5"/>
    <w:multiLevelType w:val="singleLevel"/>
    <w:tmpl w:val="4A3EADA5"/>
    <w:lvl w:ilvl="0" w:tentative="0">
      <w:start w:val="1"/>
      <w:numFmt w:val="chineseCounting"/>
      <w:suff w:val="nothing"/>
      <w:lvlText w:val="%1、"/>
      <w:lvlJc w:val="left"/>
      <w:rPr>
        <w:rFonts w:hint="eastAsia"/>
      </w:rPr>
    </w:lvl>
  </w:abstractNum>
  <w:abstractNum w:abstractNumId="1">
    <w:nsid w:val="723897C2"/>
    <w:multiLevelType w:val="singleLevel"/>
    <w:tmpl w:val="723897C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MWFlOGQ0ZTNlYTc4MzVlNzZjOTA5MjA5YzEyNDYifQ=="/>
  </w:docVars>
  <w:rsids>
    <w:rsidRoot w:val="06F8042E"/>
    <w:rsid w:val="06BD6A55"/>
    <w:rsid w:val="06F8042E"/>
    <w:rsid w:val="21A422C9"/>
    <w:rsid w:val="3E4F6780"/>
    <w:rsid w:val="40097B39"/>
    <w:rsid w:val="5DF430EB"/>
    <w:rsid w:val="6D4D3F7A"/>
    <w:rsid w:val="6DA1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2317</Words>
  <Characters>2433</Characters>
  <Lines>0</Lines>
  <Paragraphs>0</Paragraphs>
  <TotalTime>16</TotalTime>
  <ScaleCrop>false</ScaleCrop>
  <LinksUpToDate>false</LinksUpToDate>
  <CharactersWithSpaces>2445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2023-01-16T03:12:00Z</dcterms:created>
  <dc:creator>Administrator</dc:creator>
  <cp:lastModifiedBy>Administrator</cp:lastModifiedBy>
  <cp:lastPrinted>2023-02-10T09:12:06Z</cp:lastPrinted>
  <dcterms:modified xsi:type="dcterms:W3CDTF">2023-02-10T09:13:26Z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2CE890FDAE4C47AD978A9A6A148CF07A</vt:lpwstr>
  </property>
</Properties>
</file>