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2024年淄博高新区政务公开重点工作分解表</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pacing w:val="-20"/>
          <w:sz w:val="21"/>
          <w:szCs w:val="21"/>
          <w:highlight w:val="none"/>
          <w:lang w:val="en-US" w:eastAsia="zh-CN"/>
        </w:rPr>
      </w:pPr>
    </w:p>
    <w:tbl>
      <w:tblPr>
        <w:tblStyle w:val="4"/>
        <w:tblW w:w="14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31"/>
        <w:gridCol w:w="1286"/>
        <w:gridCol w:w="85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737" w:type="dxa"/>
            <w:noWrap w:val="0"/>
            <w:vAlign w:val="center"/>
          </w:tcPr>
          <w:p>
            <w:pPr>
              <w:jc w:val="center"/>
              <w:rPr>
                <w:rFonts w:hint="eastAsia" w:ascii="黑体" w:hAnsi="黑体" w:eastAsia="黑体" w:cs="黑体"/>
                <w:b/>
                <w:bCs/>
                <w:sz w:val="21"/>
                <w:szCs w:val="21"/>
                <w:highlight w:val="none"/>
                <w:vertAlign w:val="baseline"/>
                <w:lang w:val="en-US" w:eastAsia="zh-CN"/>
              </w:rPr>
            </w:pPr>
            <w:r>
              <w:rPr>
                <w:rFonts w:hint="eastAsia" w:ascii="黑体" w:hAnsi="黑体" w:eastAsia="黑体" w:cs="黑体"/>
                <w:b/>
                <w:bCs/>
                <w:sz w:val="21"/>
                <w:szCs w:val="21"/>
                <w:highlight w:val="none"/>
                <w:vertAlign w:val="baseline"/>
                <w:lang w:val="en-US" w:eastAsia="zh-CN"/>
              </w:rPr>
              <w:t>序号</w:t>
            </w:r>
          </w:p>
        </w:tc>
        <w:tc>
          <w:tcPr>
            <w:tcW w:w="1917" w:type="dxa"/>
            <w:gridSpan w:val="2"/>
            <w:noWrap w:val="0"/>
            <w:vAlign w:val="center"/>
          </w:tcPr>
          <w:p>
            <w:pPr>
              <w:jc w:val="center"/>
              <w:rPr>
                <w:rFonts w:hint="eastAsia" w:ascii="黑体" w:hAnsi="黑体" w:eastAsia="黑体" w:cs="黑体"/>
                <w:b/>
                <w:bCs/>
                <w:sz w:val="21"/>
                <w:szCs w:val="21"/>
                <w:highlight w:val="none"/>
                <w:vertAlign w:val="baseline"/>
                <w:lang w:val="en-US" w:eastAsia="zh-CN"/>
              </w:rPr>
            </w:pPr>
            <w:r>
              <w:rPr>
                <w:rFonts w:hint="eastAsia" w:ascii="黑体" w:hAnsi="黑体" w:eastAsia="黑体" w:cs="黑体"/>
                <w:b/>
                <w:bCs/>
                <w:sz w:val="21"/>
                <w:szCs w:val="21"/>
                <w:highlight w:val="none"/>
                <w:vertAlign w:val="baseline"/>
                <w:lang w:val="en-US" w:eastAsia="zh-CN"/>
              </w:rPr>
              <w:t>工作任务</w:t>
            </w:r>
          </w:p>
        </w:tc>
        <w:tc>
          <w:tcPr>
            <w:tcW w:w="8569" w:type="dxa"/>
            <w:noWrap w:val="0"/>
            <w:vAlign w:val="center"/>
          </w:tcPr>
          <w:p>
            <w:pPr>
              <w:jc w:val="center"/>
              <w:rPr>
                <w:rFonts w:hint="eastAsia" w:ascii="黑体" w:hAnsi="黑体" w:eastAsia="黑体" w:cs="黑体"/>
                <w:b/>
                <w:bCs/>
                <w:sz w:val="21"/>
                <w:szCs w:val="21"/>
                <w:highlight w:val="none"/>
                <w:vertAlign w:val="baseline"/>
                <w:lang w:val="en-US" w:eastAsia="zh-CN"/>
              </w:rPr>
            </w:pPr>
            <w:r>
              <w:rPr>
                <w:rFonts w:hint="eastAsia" w:ascii="黑体" w:hAnsi="黑体" w:eastAsia="黑体" w:cs="黑体"/>
                <w:b/>
                <w:bCs/>
                <w:sz w:val="21"/>
                <w:szCs w:val="21"/>
                <w:highlight w:val="none"/>
                <w:vertAlign w:val="baseline"/>
                <w:lang w:val="en-US" w:eastAsia="zh-CN"/>
              </w:rPr>
              <w:t>工作要求</w:t>
            </w:r>
          </w:p>
        </w:tc>
        <w:tc>
          <w:tcPr>
            <w:tcW w:w="2835" w:type="dxa"/>
            <w:noWrap w:val="0"/>
            <w:vAlign w:val="center"/>
          </w:tcPr>
          <w:p>
            <w:pPr>
              <w:jc w:val="center"/>
              <w:rPr>
                <w:rFonts w:hint="eastAsia" w:ascii="黑体" w:hAnsi="黑体" w:eastAsia="黑体" w:cs="黑体"/>
                <w:b/>
                <w:bCs/>
                <w:sz w:val="21"/>
                <w:szCs w:val="21"/>
                <w:highlight w:val="none"/>
                <w:vertAlign w:val="baseline"/>
                <w:lang w:val="en-US" w:eastAsia="zh-CN"/>
              </w:rPr>
            </w:pPr>
            <w:r>
              <w:rPr>
                <w:rFonts w:hint="eastAsia" w:ascii="黑体" w:hAnsi="黑体" w:eastAsia="黑体" w:cs="黑体"/>
                <w:b/>
                <w:bCs/>
                <w:sz w:val="21"/>
                <w:szCs w:val="21"/>
                <w:highlight w:val="none"/>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以政务公开助推重点工作落实</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以公开助推高水平开放、高质量招商引资</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集成式公开招商引资、招才引智、动能转换、重点产业、支持企业发展等方面政策文件并做好宣传解读</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各有关部门、单位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通过召开促进民间投资现场会、印发典型经验案例等多种方式，推广各地促进民间投资的好经验好做法，为民间投资健康发展创造良好氛围</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扎实做好“促进经济巩固向好、加快绿色低碳高质量发展”系列政策包的</w:t>
            </w:r>
            <w:r>
              <w:rPr>
                <w:rFonts w:hint="eastAsia" w:ascii="宋体" w:hAnsi="宋体" w:cs="宋体"/>
                <w:b w:val="0"/>
                <w:bCs w:val="0"/>
                <w:sz w:val="21"/>
                <w:szCs w:val="21"/>
                <w:highlight w:val="none"/>
                <w:vertAlign w:val="baseline"/>
                <w:lang w:val="en-US" w:eastAsia="zh-CN"/>
              </w:rPr>
              <w:t>宣传贯彻</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发展改革局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工业信息化和商务局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全力做好国家重大战略、基础设施、防灾减灾、产业升级、民生保障等领域重大建设项目批准和实施信息公开</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各有关部门、单位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5</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围绕新能源汽车、绿色智能家电、特色医疗、健康养老、体育赛事、文娱旅游、住房改善等领域消费支持政策，做好信息发布和舆论引导工作</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以公开助推社会治理精细化</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做好城市更新及相关配套政策的发布和解读，及时回应群众关切，全面引导公众参与，支持城市更新工作</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7</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围绕发展现代农业、宜居宜业和美乡村建设、促进农民增收致富、</w:t>
            </w:r>
            <w:r>
              <w:rPr>
                <w:rFonts w:hint="eastAsia" w:ascii="宋体" w:hAnsi="宋体" w:cs="宋体"/>
                <w:b w:val="0"/>
                <w:bCs w:val="0"/>
                <w:sz w:val="21"/>
                <w:szCs w:val="21"/>
                <w:highlight w:val="none"/>
                <w:vertAlign w:val="baseline"/>
                <w:lang w:val="en-US" w:eastAsia="zh-CN"/>
              </w:rPr>
              <w:t>数字农业、</w:t>
            </w:r>
            <w:r>
              <w:rPr>
                <w:rFonts w:hint="eastAsia" w:ascii="宋体" w:hAnsi="宋体" w:eastAsia="宋体" w:cs="宋体"/>
                <w:b w:val="0"/>
                <w:bCs w:val="0"/>
                <w:sz w:val="21"/>
                <w:szCs w:val="21"/>
                <w:highlight w:val="none"/>
                <w:vertAlign w:val="baseline"/>
                <w:lang w:val="en-US" w:eastAsia="zh-CN"/>
              </w:rPr>
              <w:t>数字乡村等方面，做好乡村振兴信息公开</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农业农村事业中心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8</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聚焦乡村产业、乡村建设、乡村治理等关键领域，持续做好重要政策宣传发布</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9</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以政务公开助推重点工作落实</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以公开助推社会治理精细化</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稳步推进重大项目环评审批信息全过程公开</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高新区环保局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10</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及时发布“无废城市”相关工作动态，做好政策宣传引导</w:t>
            </w:r>
          </w:p>
        </w:tc>
        <w:tc>
          <w:tcPr>
            <w:tcW w:w="2835" w:type="dxa"/>
            <w:noWrap w:val="0"/>
            <w:vAlign w:val="center"/>
          </w:tcPr>
          <w:p>
            <w:pPr>
              <w:jc w:val="both"/>
              <w:rPr>
                <w:rFonts w:hint="default"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高新区“无废城市”建设工作领导小组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11</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充分运用各类媒体平台，强化生活垃圾分类宣传，营造良好舆论氛围。持续开展生活垃圾分类进机关、进学校、进企业、进社区、进市场、进乡村等宣传活动，推进垃圾分类宣传教育基地向社会公众开放，提高生活垃圾分类全民知晓率、参与率</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综合行政执法与应急管理局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围绕惠农资金补助发放等事项，通过分配结果公示与存档备查相结合的方式，加强对小微权力运行的监督</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农业农村事业中心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13</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以公开助推人民群众生活品质提高</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围绕稳就业促增收，及时更新发布本地区就业创业政策清单，分类梳理面向高校毕业生、困难人员、退役军人等不同群体以及各类经营主体的政策举措</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pacing w:val="-6"/>
                <w:sz w:val="21"/>
                <w:szCs w:val="21"/>
                <w:highlight w:val="none"/>
                <w:vertAlign w:val="baseline"/>
                <w:lang w:val="en-US" w:eastAsia="zh-CN"/>
              </w:rPr>
              <w:t>社会发展保障局、财政金融局、社会工作部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14</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围绕推动大规模设备更新和消费品以旧换新，做好相关政策的宣传引导</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工业信息化和商务局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15</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加大医疗卫生服务能力提升、乡村卫生服务体系建设、重大疾病和传染病防控、中医药传承创新发展等领域信息公开力度</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卫生健康事业中心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围绕满足居民刚性和改善性住房需求，做好“认房不认贷”“带押过户”“降低首付”“青年优居计划”等政策措施的宣传普及</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17</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持续推进义务教育、学前教育、特殊教育、职业教育、高等教育等方面的信息公开</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教育和体育事业中心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18</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pacing w:val="-6"/>
                <w:sz w:val="21"/>
                <w:szCs w:val="21"/>
                <w:highlight w:val="none"/>
                <w:vertAlign w:val="baseline"/>
                <w:lang w:val="en-US" w:eastAsia="zh-CN"/>
              </w:rPr>
              <w:t>加强“一老一小”服务保障有关政策推送，重点推送老年助餐、银发经济、养老服务机构建设运营、居民长期护理保险、托育服务供给、孤儿助学工程、“护佑健康”项目等支持政策和措施</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pacing w:val="-11"/>
                <w:sz w:val="21"/>
                <w:szCs w:val="21"/>
                <w:highlight w:val="none"/>
                <w:vertAlign w:val="baseline"/>
                <w:lang w:val="en-US" w:eastAsia="zh-CN"/>
              </w:rPr>
              <w:t>民政和文旅事业中心</w:t>
            </w:r>
            <w:r>
              <w:rPr>
                <w:rFonts w:hint="eastAsia" w:ascii="宋体" w:hAnsi="宋体" w:eastAsia="宋体" w:cs="宋体"/>
                <w:b w:val="0"/>
                <w:bCs w:val="0"/>
                <w:spacing w:val="-11"/>
                <w:sz w:val="21"/>
                <w:szCs w:val="21"/>
                <w:highlight w:val="none"/>
                <w:vertAlign w:val="baseline"/>
                <w:lang w:val="en-US" w:eastAsia="zh-CN"/>
              </w:rPr>
              <w:t>、</w:t>
            </w:r>
            <w:r>
              <w:rPr>
                <w:rFonts w:hint="eastAsia" w:ascii="宋体" w:hAnsi="宋体" w:cs="宋体"/>
                <w:b w:val="0"/>
                <w:bCs w:val="0"/>
                <w:spacing w:val="-11"/>
                <w:sz w:val="21"/>
                <w:szCs w:val="21"/>
                <w:highlight w:val="none"/>
                <w:vertAlign w:val="baseline"/>
                <w:lang w:val="en-US" w:eastAsia="zh-CN"/>
              </w:rPr>
              <w:t>教育和体育事业中心</w:t>
            </w:r>
            <w:r>
              <w:rPr>
                <w:rFonts w:hint="eastAsia" w:ascii="宋体" w:hAnsi="宋体" w:eastAsia="宋体" w:cs="宋体"/>
                <w:b w:val="0"/>
                <w:bCs w:val="0"/>
                <w:spacing w:val="-11"/>
                <w:sz w:val="21"/>
                <w:szCs w:val="21"/>
                <w:highlight w:val="none"/>
                <w:vertAlign w:val="baseline"/>
                <w:lang w:val="en-US" w:eastAsia="zh-CN"/>
              </w:rPr>
              <w:t>、</w:t>
            </w:r>
            <w:r>
              <w:rPr>
                <w:rFonts w:hint="eastAsia" w:ascii="宋体" w:hAnsi="宋体" w:cs="宋体"/>
                <w:b w:val="0"/>
                <w:bCs w:val="0"/>
                <w:spacing w:val="-11"/>
                <w:sz w:val="21"/>
                <w:szCs w:val="21"/>
                <w:highlight w:val="none"/>
                <w:vertAlign w:val="baseline"/>
                <w:lang w:val="en-US" w:eastAsia="zh-CN"/>
              </w:rPr>
              <w:t>卫生健康事业中心、高新区医保分局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19</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动态调整并公开社会救助标准</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民政和文旅事业中心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20</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加大物业、环卫、家政等从业群体社会保障信息公开力度，持续推动外卖骑手、网约车司机等新就业形态职业伤害保障试点工作进展情况公开</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各</w:t>
            </w:r>
            <w:r>
              <w:rPr>
                <w:rFonts w:hint="eastAsia" w:ascii="宋体" w:hAnsi="宋体" w:eastAsia="宋体" w:cs="宋体"/>
                <w:b w:val="0"/>
                <w:bCs w:val="0"/>
                <w:sz w:val="21"/>
                <w:szCs w:val="21"/>
                <w:highlight w:val="none"/>
                <w:vertAlign w:val="baseline"/>
                <w:lang w:val="en-US" w:eastAsia="zh-CN"/>
              </w:rPr>
              <w:t>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21</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以政务公开助推重点工作落实</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以公开助推监管效能提升</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加强行政机关权力配置信息公开，结合政府机构改革和职能优化，做好政府部门权责清单和机构职能信息的调整和公开工作</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严格落实行政执法公示制度</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社会工作部、各有关部门、单位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23</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规范公开行政事业性收费和政府性基金目录</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24</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规范公开招投标、公共资源配置等领域政府信息</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各</w:t>
            </w:r>
            <w:r>
              <w:rPr>
                <w:rFonts w:hint="eastAsia" w:ascii="宋体" w:hAnsi="宋体" w:eastAsia="宋体" w:cs="宋体"/>
                <w:b w:val="0"/>
                <w:bCs w:val="0"/>
                <w:sz w:val="21"/>
                <w:szCs w:val="21"/>
                <w:highlight w:val="none"/>
                <w:vertAlign w:val="baseline"/>
                <w:lang w:val="en-US" w:eastAsia="zh-CN"/>
              </w:rPr>
              <w:t>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25</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加强市场监管制度规则和标准的更新发布和解读，提高监管透明度</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加强各级行业主管部门对公共企事业单位的监管，推进信息公开与业务工作深度融合</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教育和体育事业中心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高新区环保局</w:t>
            </w:r>
            <w:r>
              <w:rPr>
                <w:rFonts w:hint="eastAsia" w:ascii="宋体" w:hAnsi="宋体" w:eastAsia="宋体" w:cs="宋体"/>
                <w:b w:val="0"/>
                <w:bCs w:val="0"/>
                <w:sz w:val="21"/>
                <w:szCs w:val="21"/>
                <w:highlight w:val="none"/>
                <w:vertAlign w:val="baseline"/>
                <w:lang w:val="en-US" w:eastAsia="zh-CN"/>
              </w:rPr>
              <w:t>、建设局、</w:t>
            </w:r>
            <w:r>
              <w:rPr>
                <w:rFonts w:hint="eastAsia" w:ascii="宋体" w:hAnsi="宋体" w:cs="宋体"/>
                <w:b w:val="0"/>
                <w:bCs w:val="0"/>
                <w:sz w:val="21"/>
                <w:szCs w:val="21"/>
                <w:highlight w:val="none"/>
                <w:vertAlign w:val="baseline"/>
                <w:lang w:val="en-US" w:eastAsia="zh-CN"/>
              </w:rPr>
              <w:t>卫生健康事业中心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27</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pacing w:val="-11"/>
                <w:sz w:val="21"/>
                <w:szCs w:val="21"/>
                <w:highlight w:val="none"/>
                <w:vertAlign w:val="baseline"/>
                <w:lang w:val="en-US" w:eastAsia="zh-CN"/>
              </w:rPr>
              <w:t>针对各领域公共企事业单位线上线下公开平台的不同特点，分别探索制定公开平台建设指南或规范</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28</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逐步扩大公共企事业单位信息公开适用领域，探索建立各领域统一的行业性信息公开平台和咨询窗口，科学合理确定公开内容</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29</w:t>
            </w:r>
          </w:p>
        </w:tc>
        <w:tc>
          <w:tcPr>
            <w:tcW w:w="6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做好政策公开与解读回应</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提升政策集中发布质效</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强化政策集成供给，选取部分企业群众关注度高、办事需求大、政策体量大的领域，实施跨层级、跨部门的政策集成式发布和一站式公开，最大限度利企便民</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30</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探索运用大数据、人工智能等信息技术优化政策</w:t>
            </w:r>
            <w:r>
              <w:rPr>
                <w:rFonts w:hint="eastAsia" w:ascii="宋体" w:hAnsi="宋体" w:cs="宋体"/>
                <w:b w:val="0"/>
                <w:bCs w:val="0"/>
                <w:sz w:val="21"/>
                <w:szCs w:val="21"/>
                <w:highlight w:val="none"/>
                <w:vertAlign w:val="baseline"/>
                <w:lang w:val="en-US" w:eastAsia="zh-CN"/>
              </w:rPr>
              <w:t>“</w:t>
            </w:r>
            <w:r>
              <w:rPr>
                <w:rFonts w:hint="eastAsia" w:ascii="宋体" w:hAnsi="宋体" w:eastAsia="宋体" w:cs="宋体"/>
                <w:b w:val="0"/>
                <w:bCs w:val="0"/>
                <w:sz w:val="21"/>
                <w:szCs w:val="21"/>
                <w:highlight w:val="none"/>
                <w:vertAlign w:val="baseline"/>
                <w:lang w:val="en-US" w:eastAsia="zh-CN"/>
              </w:rPr>
              <w:t>点对点</w:t>
            </w:r>
            <w:r>
              <w:rPr>
                <w:rFonts w:hint="eastAsia" w:ascii="宋体" w:hAnsi="宋体" w:cs="宋体"/>
                <w:b w:val="0"/>
                <w:bCs w:val="0"/>
                <w:sz w:val="21"/>
                <w:szCs w:val="21"/>
                <w:highlight w:val="none"/>
                <w:vertAlign w:val="baseline"/>
                <w:lang w:val="en-US" w:eastAsia="zh-CN"/>
              </w:rPr>
              <w:t>”</w:t>
            </w:r>
            <w:r>
              <w:rPr>
                <w:rFonts w:hint="eastAsia" w:ascii="宋体" w:hAnsi="宋体" w:eastAsia="宋体" w:cs="宋体"/>
                <w:b w:val="0"/>
                <w:bCs w:val="0"/>
                <w:sz w:val="21"/>
                <w:szCs w:val="21"/>
                <w:highlight w:val="none"/>
                <w:vertAlign w:val="baseline"/>
                <w:lang w:val="en-US" w:eastAsia="zh-CN"/>
              </w:rPr>
              <w:t>推送，实现政策场景化展示和精准化、个性化推送，确保政策直达基层、直达企业、直达群众</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31</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强化政府网站政策数据同源管理，提升政策公开质量和效率</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工委管委会办公室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rPr>
            </w:pPr>
            <w:r>
              <w:rPr>
                <w:rFonts w:hint="eastAsia" w:ascii="宋体" w:hAnsi="宋体" w:eastAsia="宋体" w:cs="宋体"/>
                <w:i w:val="0"/>
                <w:color w:val="000000"/>
                <w:kern w:val="0"/>
                <w:sz w:val="21"/>
                <w:szCs w:val="21"/>
                <w:highlight w:val="none"/>
                <w:u w:val="none"/>
                <w:lang w:val="en-US" w:eastAsia="zh-CN" w:bidi="ar"/>
              </w:rPr>
              <w:t>32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以政府规章、行政规范性文件为重点，加强已公开政策的信息管理，根据立改废情况动态更新，以公开的准确性保障执行的准确性</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34</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做好政策公开与解读回应</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持续加大政策解读力度</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准确把握政策解读工作重点，聚焦扩大有效需求、培育和发展新质生产力、数字经济发展、重点领域改革、高水平开放、高质量招商引资、乡村振兴、新型城镇化建设、降碳减污扩绿、保障改善民生等方面政策，开展深入解读，加速释放政策红利</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35</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充分收集政府网站、政务服务大厅、12345政务服务便民热线等渠道反映的企业群众诉求，对政策中与企业群众生产生活密切相关的具体条款和事项，进行要点拆分、深度解读和综合指引，不断丰富解读内容，提高解读质量</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涉及办事服务的政策性文件，要确保政策解读内容与实际办事要求一致</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37</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充分发挥部门主要负责人、政策参与制定者和熟悉有关业务专家学者、专业机构从业人员、新闻评论员、媒体记者等作用，综合运用政策吹风会或新闻发布会、媒体互动直播、现场集中宣讲、撰写评论文章等方式多角度全方位开展解读</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38</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深化政民互动与公众参与</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深化重大决策公众参与</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深入落实重大决策公众参与程序，进一步完善意见征集、采纳、反馈等工作机制</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39</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制定涉及重大公共利益的政策，除依法应当保密的外，应通过征求意见、听证座谈、实地走访、民意调查等方式扩大公众参与</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40</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制定涉企政策要主动听取相关企业、行业协会商会的意见</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41</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探索建立政务公开监督员制度，聘请专家学者、公众代表、企业法人、律师、教师、人大代表、政协委员、民主党派人士等作为监督员，积极向政务公开工作机构反馈企业群众的意见建议</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继续推进邀请利益相关方、公众代表、</w:t>
            </w:r>
            <w:r>
              <w:rPr>
                <w:rFonts w:hint="eastAsia" w:ascii="宋体" w:hAnsi="宋体" w:eastAsia="宋体" w:cs="宋体"/>
                <w:b w:val="0"/>
                <w:bCs w:val="0"/>
                <w:sz w:val="21"/>
                <w:szCs w:val="21"/>
                <w:highlight w:val="none"/>
                <w:vertAlign w:val="baseline"/>
                <w:lang w:val="en" w:eastAsia="zh-CN"/>
              </w:rPr>
              <w:t>专家、媒体</w:t>
            </w:r>
            <w:r>
              <w:rPr>
                <w:rFonts w:hint="eastAsia" w:ascii="宋体" w:hAnsi="宋体" w:eastAsia="宋体" w:cs="宋体"/>
                <w:b w:val="0"/>
                <w:bCs w:val="0"/>
                <w:sz w:val="21"/>
                <w:szCs w:val="21"/>
                <w:highlight w:val="none"/>
                <w:vertAlign w:val="baseline"/>
                <w:lang w:val="en-US" w:eastAsia="zh-CN"/>
              </w:rPr>
              <w:t>等列席政府有关会议工作，列席代表的意见发表和采纳情况要向社会公开</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43</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深化政民互动与公众参与</w:t>
            </w:r>
          </w:p>
        </w:tc>
        <w:tc>
          <w:tcPr>
            <w:tcW w:w="1286" w:type="dxa"/>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深化重大决策公众参与</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常态化开展政策评价，选取本单位重点政策，进行实施效果评价，全面掌握政策落实情况，制定政策性文件的部门原则上每年至少开展2次专题性政策评价工作。要深入分析政策评价结果，适时转化为调整政策制定的措施，年底前将评价结果和运用情况向社会公开</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44</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增强政民互动交流实效</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加强对政府开放活动的统筹调度，</w:t>
            </w:r>
            <w:r>
              <w:rPr>
                <w:rFonts w:hint="eastAsia" w:ascii="宋体" w:hAnsi="宋体" w:eastAsia="宋体" w:cs="宋体"/>
                <w:b w:val="0"/>
                <w:bCs w:val="0"/>
                <w:sz w:val="21"/>
                <w:szCs w:val="21"/>
                <w:highlight w:val="none"/>
                <w:vertAlign w:val="baseline"/>
                <w:lang w:val="en-US" w:eastAsia="zh-CN"/>
              </w:rPr>
              <w:t>与宏观经济和民生关系密切的单位通过多种形式常态化开展政府开放活动，让公众了解政府工作，反映意见诉求。鼓励以公开征集意见的方式确定活动主题和场次，推动政府开放活动常态化</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r>
              <w:rPr>
                <w:rFonts w:hint="eastAsia" w:ascii="宋体" w:hAnsi="宋体" w:cs="宋体"/>
                <w:b w:val="0"/>
                <w:bCs w:val="0"/>
                <w:sz w:val="21"/>
                <w:szCs w:val="21"/>
                <w:highlight w:val="none"/>
                <w:vertAlign w:val="baseline"/>
                <w:lang w:val="en-US" w:eastAsia="zh-CN"/>
              </w:rPr>
              <w:t>，</w:t>
            </w:r>
            <w:r>
              <w:rPr>
                <w:rFonts w:hint="eastAsia" w:ascii="宋体" w:hAnsi="宋体" w:eastAsia="宋体" w:cs="宋体"/>
                <w:b w:val="0"/>
                <w:bCs w:val="0"/>
                <w:sz w:val="21"/>
                <w:szCs w:val="21"/>
                <w:highlight w:val="none"/>
                <w:vertAlign w:val="baseline"/>
                <w:lang w:val="en-US" w:eastAsia="zh-CN"/>
              </w:rPr>
              <w:t>特别是与宏观经济和民生关系密切的部门（</w:t>
            </w:r>
            <w:r>
              <w:rPr>
                <w:rFonts w:hint="eastAsia" w:ascii="宋体" w:hAnsi="宋体" w:cs="宋体"/>
                <w:b w:val="0"/>
                <w:bCs w:val="0"/>
                <w:sz w:val="21"/>
                <w:szCs w:val="21"/>
                <w:highlight w:val="none"/>
                <w:vertAlign w:val="baseline"/>
                <w:lang w:val="en-US" w:eastAsia="zh-CN"/>
              </w:rPr>
              <w:t>发展改革局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教育和体育事业中心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科学技术发展中心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工业信息化和商务局</w:t>
            </w:r>
            <w:r>
              <w:rPr>
                <w:rFonts w:hint="eastAsia" w:ascii="宋体" w:hAnsi="宋体" w:eastAsia="宋体" w:cs="宋体"/>
                <w:b w:val="0"/>
                <w:bCs w:val="0"/>
                <w:sz w:val="21"/>
                <w:szCs w:val="21"/>
                <w:highlight w:val="none"/>
                <w:vertAlign w:val="baseline"/>
                <w:lang w:val="en-US" w:eastAsia="zh-CN"/>
              </w:rPr>
              <w:t>、高新区公安</w:t>
            </w:r>
            <w:r>
              <w:rPr>
                <w:rFonts w:hint="eastAsia" w:ascii="宋体" w:hAnsi="宋体" w:cs="宋体"/>
                <w:b w:val="0"/>
                <w:bCs w:val="0"/>
                <w:sz w:val="21"/>
                <w:szCs w:val="21"/>
                <w:highlight w:val="none"/>
                <w:vertAlign w:val="baseline"/>
                <w:lang w:val="en-US" w:eastAsia="zh-CN"/>
              </w:rPr>
              <w:t>分</w:t>
            </w:r>
            <w:r>
              <w:rPr>
                <w:rFonts w:hint="eastAsia" w:ascii="宋体" w:hAnsi="宋体" w:eastAsia="宋体" w:cs="宋体"/>
                <w:b w:val="0"/>
                <w:bCs w:val="0"/>
                <w:sz w:val="21"/>
                <w:szCs w:val="21"/>
                <w:highlight w:val="none"/>
                <w:vertAlign w:val="baseline"/>
                <w:lang w:val="en-US" w:eastAsia="zh-CN"/>
              </w:rPr>
              <w:t>局、</w:t>
            </w:r>
            <w:r>
              <w:rPr>
                <w:rFonts w:hint="eastAsia" w:ascii="宋体" w:hAnsi="宋体" w:cs="宋体"/>
                <w:b w:val="0"/>
                <w:bCs w:val="0"/>
                <w:sz w:val="21"/>
                <w:szCs w:val="21"/>
                <w:highlight w:val="none"/>
                <w:vertAlign w:val="baseline"/>
                <w:lang w:val="en-US" w:eastAsia="zh-CN"/>
              </w:rPr>
              <w:t>民政和文旅事业中心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财政金融局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社会发展保障局</w:t>
            </w:r>
            <w:r>
              <w:rPr>
                <w:rFonts w:hint="eastAsia" w:ascii="宋体" w:hAnsi="宋体" w:eastAsia="宋体" w:cs="宋体"/>
                <w:b w:val="0"/>
                <w:bCs w:val="0"/>
                <w:sz w:val="21"/>
                <w:szCs w:val="21"/>
                <w:highlight w:val="none"/>
                <w:vertAlign w:val="baseline"/>
                <w:lang w:val="en-US" w:eastAsia="zh-CN"/>
              </w:rPr>
              <w:t>、高新区自然资源和规划</w:t>
            </w:r>
            <w:r>
              <w:rPr>
                <w:rFonts w:hint="eastAsia" w:ascii="宋体" w:hAnsi="宋体" w:cs="宋体"/>
                <w:b w:val="0"/>
                <w:bCs w:val="0"/>
                <w:sz w:val="21"/>
                <w:szCs w:val="21"/>
                <w:highlight w:val="none"/>
                <w:vertAlign w:val="baseline"/>
                <w:lang w:val="en-US" w:eastAsia="zh-CN"/>
              </w:rPr>
              <w:t>分</w:t>
            </w:r>
            <w:r>
              <w:rPr>
                <w:rFonts w:hint="eastAsia" w:ascii="宋体" w:hAnsi="宋体" w:eastAsia="宋体" w:cs="宋体"/>
                <w:b w:val="0"/>
                <w:bCs w:val="0"/>
                <w:sz w:val="21"/>
                <w:szCs w:val="21"/>
                <w:highlight w:val="none"/>
                <w:vertAlign w:val="baseline"/>
                <w:lang w:val="en-US" w:eastAsia="zh-CN"/>
              </w:rPr>
              <w:t>局、</w:t>
            </w:r>
            <w:r>
              <w:rPr>
                <w:rFonts w:hint="eastAsia" w:ascii="宋体" w:hAnsi="宋体" w:cs="宋体"/>
                <w:b w:val="0"/>
                <w:bCs w:val="0"/>
                <w:sz w:val="21"/>
                <w:szCs w:val="21"/>
                <w:highlight w:val="none"/>
                <w:vertAlign w:val="baseline"/>
                <w:lang w:val="en-US" w:eastAsia="zh-CN"/>
              </w:rPr>
              <w:t>高新区环保局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建设局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农业农村事业中心</w:t>
            </w:r>
            <w:r>
              <w:rPr>
                <w:rFonts w:hint="eastAsia" w:ascii="宋体" w:hAnsi="宋体" w:eastAsia="宋体" w:cs="宋体"/>
                <w:b w:val="0"/>
                <w:bCs w:val="0"/>
                <w:sz w:val="21"/>
                <w:szCs w:val="21"/>
                <w:highlight w:val="none"/>
                <w:vertAlign w:val="baseline"/>
                <w:lang w:val="en-US" w:eastAsia="zh-CN"/>
              </w:rPr>
              <w:t>、</w:t>
            </w:r>
            <w:bookmarkStart w:id="0" w:name="_GoBack"/>
            <w:bookmarkEnd w:id="0"/>
            <w:r>
              <w:rPr>
                <w:rFonts w:hint="eastAsia" w:ascii="宋体" w:hAnsi="宋体" w:cs="宋体"/>
                <w:b w:val="0"/>
                <w:bCs w:val="0"/>
                <w:sz w:val="21"/>
                <w:szCs w:val="21"/>
                <w:highlight w:val="none"/>
                <w:vertAlign w:val="baseline"/>
                <w:lang w:val="en-US" w:eastAsia="zh-CN"/>
              </w:rPr>
              <w:t>卫生健康事业中心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应急管理中心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行政审批服务局</w:t>
            </w:r>
            <w:r>
              <w:rPr>
                <w:rFonts w:hint="eastAsia" w:ascii="宋体" w:hAnsi="宋体" w:eastAsia="宋体" w:cs="宋体"/>
                <w:b w:val="0"/>
                <w:bCs w:val="0"/>
                <w:sz w:val="21"/>
                <w:szCs w:val="21"/>
                <w:highlight w:val="none"/>
                <w:vertAlign w:val="baseline"/>
                <w:lang w:val="en-US" w:eastAsia="zh-CN"/>
              </w:rPr>
              <w:t>、市场监管局、</w:t>
            </w:r>
            <w:r>
              <w:rPr>
                <w:rFonts w:hint="eastAsia" w:ascii="宋体" w:hAnsi="宋体" w:cs="宋体"/>
                <w:b w:val="0"/>
                <w:bCs w:val="0"/>
                <w:sz w:val="21"/>
                <w:szCs w:val="21"/>
                <w:highlight w:val="none"/>
                <w:vertAlign w:val="baseline"/>
                <w:lang w:val="en-US" w:eastAsia="zh-CN"/>
              </w:rPr>
              <w:t>统计中心、高新区医保分局</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综合行政执法与应急管理局</w:t>
            </w:r>
            <w:r>
              <w:rPr>
                <w:rFonts w:hint="eastAsia" w:ascii="宋体" w:hAnsi="宋体" w:eastAsia="宋体" w:cs="宋体"/>
                <w:b w:val="0"/>
                <w:bCs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45</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default"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各部门、单位政府开放活动计划安排</w:t>
            </w:r>
            <w:r>
              <w:rPr>
                <w:rFonts w:hint="eastAsia" w:ascii="宋体" w:hAnsi="宋体" w:cs="宋体"/>
                <w:b w:val="0"/>
                <w:bCs w:val="0"/>
                <w:sz w:val="21"/>
                <w:szCs w:val="21"/>
                <w:highlight w:val="none"/>
                <w:vertAlign w:val="baseline"/>
                <w:lang w:val="en-US" w:eastAsia="zh-CN"/>
              </w:rPr>
              <w:t>按附件2格式</w:t>
            </w:r>
            <w:r>
              <w:rPr>
                <w:rFonts w:hint="eastAsia" w:ascii="宋体" w:hAnsi="宋体" w:eastAsia="宋体" w:cs="宋体"/>
                <w:b w:val="0"/>
                <w:bCs w:val="0"/>
                <w:sz w:val="21"/>
                <w:szCs w:val="21"/>
                <w:highlight w:val="none"/>
                <w:vertAlign w:val="baseline"/>
                <w:lang w:val="en-US" w:eastAsia="zh-CN"/>
              </w:rPr>
              <w:t>于6月</w:t>
            </w:r>
            <w:r>
              <w:rPr>
                <w:rFonts w:hint="eastAsia" w:ascii="宋体" w:hAnsi="宋体" w:cs="宋体"/>
                <w:b w:val="0"/>
                <w:bCs w:val="0"/>
                <w:sz w:val="21"/>
                <w:szCs w:val="21"/>
                <w:highlight w:val="none"/>
                <w:vertAlign w:val="baseline"/>
                <w:lang w:val="en-US" w:eastAsia="zh-CN"/>
              </w:rPr>
              <w:t>8</w:t>
            </w:r>
            <w:r>
              <w:rPr>
                <w:rFonts w:hint="eastAsia" w:ascii="宋体" w:hAnsi="宋体" w:eastAsia="宋体" w:cs="宋体"/>
                <w:b w:val="0"/>
                <w:bCs w:val="0"/>
                <w:sz w:val="21"/>
                <w:szCs w:val="21"/>
                <w:highlight w:val="none"/>
                <w:vertAlign w:val="baseline"/>
                <w:lang w:val="en-US" w:eastAsia="zh-CN"/>
              </w:rPr>
              <w:t>日前报</w:t>
            </w:r>
            <w:r>
              <w:rPr>
                <w:rFonts w:hint="eastAsia" w:ascii="宋体" w:hAnsi="宋体" w:cs="宋体"/>
                <w:b w:val="0"/>
                <w:bCs w:val="0"/>
                <w:sz w:val="21"/>
                <w:szCs w:val="21"/>
                <w:highlight w:val="none"/>
                <w:vertAlign w:val="baseline"/>
                <w:lang w:val="en-US" w:eastAsia="zh-CN"/>
              </w:rPr>
              <w:t>工委管委会办公室机关服务中心</w:t>
            </w:r>
            <w:r>
              <w:rPr>
                <w:rFonts w:hint="eastAsia" w:ascii="宋体" w:hAnsi="宋体" w:eastAsia="宋体" w:cs="宋体"/>
                <w:b w:val="0"/>
                <w:bCs w:val="0"/>
                <w:sz w:val="21"/>
                <w:szCs w:val="21"/>
                <w:highlight w:val="none"/>
                <w:vertAlign w:val="baseline"/>
                <w:lang w:val="en-US" w:eastAsia="zh-CN"/>
              </w:rPr>
              <w:t>备案</w:t>
            </w:r>
            <w:r>
              <w:rPr>
                <w:rFonts w:hint="eastAsia" w:ascii="宋体" w:hAnsi="宋体" w:cs="宋体"/>
                <w:b w:val="0"/>
                <w:bCs w:val="0"/>
                <w:sz w:val="21"/>
                <w:szCs w:val="21"/>
                <w:highlight w:val="none"/>
                <w:vertAlign w:val="baseline"/>
                <w:lang w:val="en-US" w:eastAsia="zh-CN"/>
              </w:rPr>
              <w:t>（本年度已开展政府开放活动的，仅报送活动开展情况）</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46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各部门、单位政府开放活动开展情况于活动开展后5个工作日内报</w:t>
            </w:r>
            <w:r>
              <w:rPr>
                <w:rFonts w:hint="eastAsia" w:ascii="宋体" w:hAnsi="宋体" w:cs="宋体"/>
                <w:b w:val="0"/>
                <w:bCs w:val="0"/>
                <w:sz w:val="21"/>
                <w:szCs w:val="21"/>
                <w:highlight w:val="none"/>
                <w:vertAlign w:val="baseline"/>
                <w:lang w:val="en-US" w:eastAsia="zh-CN"/>
              </w:rPr>
              <w:t>工委管委会办公室机关服务中心</w:t>
            </w:r>
            <w:r>
              <w:rPr>
                <w:rFonts w:hint="eastAsia" w:ascii="宋体" w:hAnsi="宋体" w:eastAsia="宋体" w:cs="宋体"/>
                <w:b w:val="0"/>
                <w:bCs w:val="0"/>
                <w:sz w:val="21"/>
                <w:szCs w:val="21"/>
                <w:highlight w:val="none"/>
                <w:vertAlign w:val="baseline"/>
                <w:lang w:val="en-US" w:eastAsia="zh-CN"/>
              </w:rPr>
              <w:t>备案</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w:t>
            </w:r>
            <w:r>
              <w:rPr>
                <w:rFonts w:hint="eastAsia" w:ascii="宋体" w:hAnsi="宋体" w:cs="宋体"/>
                <w:i w:val="0"/>
                <w:color w:val="000000"/>
                <w:kern w:val="0"/>
                <w:sz w:val="21"/>
                <w:szCs w:val="21"/>
                <w:highlight w:val="none"/>
                <w:u w:val="none"/>
                <w:lang w:val="en-US" w:eastAsia="zh-CN" w:bidi="ar"/>
              </w:rPr>
              <w:t>7</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深化政民互动与公众参与</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增强政民互动交流实效</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加强对收集意见建议的分析研究，在作出公开决策时予以考虑，并将吸收采纳情况向社会公开</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w:t>
            </w:r>
            <w:r>
              <w:rPr>
                <w:rFonts w:hint="eastAsia" w:ascii="宋体" w:hAnsi="宋体" w:cs="宋体"/>
                <w:i w:val="0"/>
                <w:color w:val="000000"/>
                <w:kern w:val="0"/>
                <w:sz w:val="21"/>
                <w:szCs w:val="21"/>
                <w:highlight w:val="none"/>
                <w:u w:val="none"/>
                <w:lang w:val="en-US" w:eastAsia="zh-CN" w:bidi="ar"/>
              </w:rPr>
              <w:t>8</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加强领导信箱、在线访谈、网友留言、意见征集、建言献策等互动平台建设，严格落实各渠道办理时限，及时公开公众意见建议采纳情况</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default" w:ascii="宋体" w:hAnsi="宋体" w:eastAsia="宋体" w:cs="宋体"/>
                <w:b w:val="0"/>
                <w:bCs w:val="0"/>
                <w:kern w:val="2"/>
                <w:sz w:val="21"/>
                <w:szCs w:val="21"/>
                <w:highlight w:val="none"/>
                <w:vertAlign w:val="baseline"/>
                <w:lang w:val="en-US" w:eastAsia="zh-CN" w:bidi="ar-SA"/>
              </w:rPr>
            </w:pPr>
            <w:r>
              <w:rPr>
                <w:rFonts w:hint="eastAsia" w:ascii="宋体" w:hAnsi="宋体" w:cs="宋体"/>
                <w:i w:val="0"/>
                <w:color w:val="000000"/>
                <w:kern w:val="0"/>
                <w:sz w:val="21"/>
                <w:szCs w:val="21"/>
                <w:highlight w:val="none"/>
                <w:u w:val="none"/>
                <w:lang w:val="en-US" w:eastAsia="zh-CN" w:bidi="ar"/>
              </w:rPr>
              <w:t>49</w:t>
            </w:r>
          </w:p>
        </w:tc>
        <w:tc>
          <w:tcPr>
            <w:tcW w:w="1917" w:type="dxa"/>
            <w:gridSpan w:val="2"/>
            <w:vMerge w:val="restart"/>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提升依申请公开办理质效</w:t>
            </w: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围绕征地拆迁、国土空间规划、社会保障等企业群众高度关注领域，开展专题调研，深入研究分析，推动申请较为集中的政府信息向主动公开转化</w:t>
            </w:r>
          </w:p>
        </w:tc>
        <w:tc>
          <w:tcPr>
            <w:tcW w:w="2835" w:type="dxa"/>
            <w:vMerge w:val="restart"/>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各</w:t>
            </w:r>
            <w:r>
              <w:rPr>
                <w:rFonts w:hint="eastAsia" w:ascii="宋体" w:hAnsi="宋体" w:eastAsia="宋体" w:cs="宋体"/>
                <w:b w:val="0"/>
                <w:bCs w:val="0"/>
                <w:sz w:val="21"/>
                <w:szCs w:val="21"/>
                <w:highlight w:val="none"/>
                <w:vertAlign w:val="baseline"/>
                <w:lang w:val="en-US" w:eastAsia="zh-CN"/>
              </w:rPr>
              <w:t>有关部门、单位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0</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强化温情服务，主动跨前与申请人沟通，做好便民解答、指引和服务，推动申请人合理诉求的实质性解决</w:t>
            </w:r>
          </w:p>
        </w:tc>
        <w:tc>
          <w:tcPr>
            <w:tcW w:w="2835" w:type="dxa"/>
            <w:vMerge w:val="continue"/>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1</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对依申请公开工作中发现的申请人权利滥用和行政机关未依法行政等方面的问题，加强与有关部门的协调联动，研究制定相关约束转办机制</w:t>
            </w:r>
          </w:p>
        </w:tc>
        <w:tc>
          <w:tcPr>
            <w:tcW w:w="2835" w:type="dxa"/>
            <w:vMerge w:val="continue"/>
            <w:noWrap w:val="0"/>
            <w:vAlign w:val="top"/>
          </w:tcPr>
          <w:p>
            <w:pPr>
              <w:jc w:val="both"/>
              <w:rPr>
                <w:rFonts w:hint="eastAsia" w:ascii="宋体" w:hAnsi="宋体" w:eastAsia="宋体" w:cs="宋体"/>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2</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妥善处理依申请公开疑难复杂案件，加强会商，对影响面广、敏感度高的申请，做到早了解、早研究</w:t>
            </w:r>
          </w:p>
        </w:tc>
        <w:tc>
          <w:tcPr>
            <w:tcW w:w="2835" w:type="dxa"/>
            <w:vMerge w:val="continue"/>
            <w:noWrap w:val="0"/>
            <w:vAlign w:val="top"/>
          </w:tcPr>
          <w:p>
            <w:pPr>
              <w:jc w:val="both"/>
              <w:rPr>
                <w:rFonts w:hint="eastAsia" w:ascii="宋体" w:hAnsi="宋体" w:eastAsia="宋体" w:cs="宋体"/>
                <w:b w:val="0"/>
                <w:bCs w:val="0"/>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3</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加强对依申请公开工作的暗访检查，规范受理、答复行为，对存在的问题进行点评反馈，不断提升依申请公开政府信息水平。</w:t>
            </w:r>
          </w:p>
        </w:tc>
        <w:tc>
          <w:tcPr>
            <w:tcW w:w="2835"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cs="宋体"/>
                <w:b w:val="0"/>
                <w:bCs w:val="0"/>
                <w:sz w:val="21"/>
                <w:szCs w:val="21"/>
                <w:highlight w:val="none"/>
                <w:vertAlign w:val="baseline"/>
                <w:lang w:val="en-US" w:eastAsia="zh-CN"/>
              </w:rPr>
              <w:t>工委管委会办公室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4</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加强对信息公开申请复议、诉讼案件特别是败诉案件的分析，掌握成案及败诉原因，采取针对性措施加以改进</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5</w:t>
            </w:r>
          </w:p>
        </w:tc>
        <w:tc>
          <w:tcPr>
            <w:tcW w:w="1917" w:type="dxa"/>
            <w:gridSpan w:val="2"/>
            <w:vMerge w:val="restart"/>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完善主动公开事项目录体系</w:t>
            </w: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以正在执行的主动公开基本目录和各领域基层政务公开事项标准目录为基础，全面梳理法律、法规、规章中关于主动公开信息的规定，逐项明确公开主体、内容、时限、方式、渠道、责任等要素，编制各级政府及政府部门的主动公开事项目录，做到法定公开事项公开到位，其他事项审慎主动公开</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6</w:t>
            </w:r>
          </w:p>
        </w:tc>
        <w:tc>
          <w:tcPr>
            <w:tcW w:w="1917" w:type="dxa"/>
            <w:gridSpan w:val="2"/>
            <w:vMerge w:val="continue"/>
            <w:noWrap w:val="0"/>
            <w:vAlign w:val="center"/>
          </w:tcPr>
          <w:p>
            <w:pPr>
              <w:jc w:val="center"/>
              <w:rPr>
                <w:rFonts w:hint="eastAsia" w:ascii="宋体" w:hAnsi="宋体" w:eastAsia="宋体" w:cs="宋体"/>
                <w:b w:val="0"/>
                <w:bCs w:val="0"/>
                <w:kern w:val="2"/>
                <w:sz w:val="21"/>
                <w:szCs w:val="21"/>
                <w:highlight w:val="none"/>
                <w:vertAlign w:val="baseline"/>
                <w:lang w:val="en-US" w:eastAsia="zh-CN" w:bidi="ar-SA"/>
              </w:rPr>
            </w:pPr>
          </w:p>
        </w:tc>
        <w:tc>
          <w:tcPr>
            <w:tcW w:w="8569" w:type="dxa"/>
            <w:noWrap w:val="0"/>
            <w:vAlign w:val="center"/>
          </w:tcPr>
          <w:p>
            <w:pPr>
              <w:jc w:val="both"/>
              <w:rPr>
                <w:rFonts w:hint="eastAsia" w:ascii="宋体" w:hAnsi="宋体" w:eastAsia="宋体" w:cs="宋体"/>
                <w:b w:val="0"/>
                <w:bCs w:val="0"/>
                <w:kern w:val="2"/>
                <w:sz w:val="21"/>
                <w:szCs w:val="21"/>
                <w:highlight w:val="none"/>
                <w:vertAlign w:val="baseline"/>
                <w:lang w:val="en-US" w:eastAsia="zh-CN" w:bidi="ar-SA"/>
              </w:rPr>
            </w:pPr>
            <w:r>
              <w:rPr>
                <w:rFonts w:hint="eastAsia" w:ascii="宋体" w:hAnsi="宋体" w:eastAsia="宋体" w:cs="宋体"/>
                <w:b w:val="0"/>
                <w:bCs w:val="0"/>
                <w:sz w:val="21"/>
                <w:szCs w:val="21"/>
                <w:highlight w:val="none"/>
                <w:vertAlign w:val="baseline"/>
                <w:lang w:val="en-US" w:eastAsia="zh-CN"/>
              </w:rPr>
              <w:t>全力抓好主动公开事项目录落实，同步调整政府网站栏目，完善其他公开渠道，确保事项目录要求与实际公开内容一致</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7</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拓展优化公开平台</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持续优化政府网站功能</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配合上级部门</w:t>
            </w:r>
            <w:r>
              <w:rPr>
                <w:rFonts w:hint="eastAsia" w:ascii="宋体" w:hAnsi="宋体" w:eastAsia="宋体" w:cs="宋体"/>
                <w:b w:val="0"/>
                <w:bCs w:val="0"/>
                <w:sz w:val="21"/>
                <w:szCs w:val="21"/>
                <w:highlight w:val="none"/>
                <w:vertAlign w:val="baseline"/>
                <w:lang w:val="en-US" w:eastAsia="zh-CN"/>
              </w:rPr>
              <w:t>提升政府门户网站站内检索功能，完善错别字自动纠正、关键词推荐、拼音转化搜索和通俗语言搜索等功能</w:t>
            </w:r>
          </w:p>
        </w:tc>
        <w:tc>
          <w:tcPr>
            <w:tcW w:w="2835" w:type="dxa"/>
            <w:vMerge w:val="restart"/>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工委管委会办公室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5</w:t>
            </w:r>
            <w:r>
              <w:rPr>
                <w:rFonts w:hint="eastAsia" w:ascii="宋体" w:hAnsi="宋体" w:cs="宋体"/>
                <w:i w:val="0"/>
                <w:color w:val="000000"/>
                <w:kern w:val="0"/>
                <w:sz w:val="21"/>
                <w:szCs w:val="21"/>
                <w:highlight w:val="none"/>
                <w:u w:val="none"/>
                <w:lang w:val="en-US" w:eastAsia="zh-CN" w:bidi="ar"/>
              </w:rPr>
              <w:t>8</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配合上级部门</w:t>
            </w:r>
            <w:r>
              <w:rPr>
                <w:rFonts w:hint="eastAsia" w:ascii="宋体" w:hAnsi="宋体" w:eastAsia="宋体" w:cs="宋体"/>
                <w:b w:val="0"/>
                <w:bCs w:val="0"/>
                <w:sz w:val="21"/>
                <w:szCs w:val="21"/>
                <w:highlight w:val="none"/>
                <w:vertAlign w:val="baseline"/>
                <w:lang w:val="en-US" w:eastAsia="zh-CN"/>
              </w:rPr>
              <w:t>对搜索结果提供多维度分类展现，聚合相关信息和服务，实现“搜索即服务”</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7"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lang w:val="en-US" w:eastAsia="zh-CN"/>
              </w:rPr>
            </w:pPr>
            <w:r>
              <w:rPr>
                <w:rFonts w:hint="eastAsia" w:ascii="宋体" w:hAnsi="宋体" w:cs="宋体"/>
                <w:i w:val="0"/>
                <w:color w:val="000000"/>
                <w:kern w:val="0"/>
                <w:sz w:val="21"/>
                <w:szCs w:val="21"/>
                <w:highlight w:val="none"/>
                <w:u w:val="none"/>
                <w:lang w:val="en-US" w:eastAsia="zh-CN" w:bidi="ar"/>
              </w:rPr>
              <w:t>59</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配合上级部门</w:t>
            </w:r>
            <w:r>
              <w:rPr>
                <w:rFonts w:hint="eastAsia" w:ascii="宋体" w:hAnsi="宋体" w:eastAsia="宋体" w:cs="宋体"/>
                <w:b w:val="0"/>
                <w:bCs w:val="0"/>
                <w:sz w:val="21"/>
                <w:szCs w:val="21"/>
                <w:highlight w:val="none"/>
                <w:vertAlign w:val="baseline"/>
                <w:lang w:val="en-US" w:eastAsia="zh-CN"/>
              </w:rPr>
              <w:t>完善政策问答平台运行机制，围绕高频政策咨询事项组建知识库，形成各级、各部门协同联动、对接共享的政策问答体系</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0</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配合上级部门</w:t>
            </w:r>
            <w:r>
              <w:rPr>
                <w:rFonts w:hint="eastAsia" w:ascii="宋体" w:hAnsi="宋体" w:eastAsia="宋体" w:cs="宋体"/>
                <w:b w:val="0"/>
                <w:bCs w:val="0"/>
                <w:sz w:val="21"/>
                <w:szCs w:val="21"/>
                <w:highlight w:val="none"/>
                <w:vertAlign w:val="baseline"/>
                <w:lang w:val="en-US" w:eastAsia="zh-CN"/>
              </w:rPr>
              <w:t>推动12345政务服务便民热线与政务服务平台、政府网站互动交流系统、政务新媒体等互联互通、共享共用政策业务咨询问答知识库</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1</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切实强化政府网站和政务新媒体管理</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按要求做好全国政府网站和政务新媒体信息报送系统的信息更新维护工作，健全完善备案管理、开设关停、检查通报等全链条工作制度</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2</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有序推进政府网站IPv6改造任务，持续做好“我为政府网站找错”平台留言办理工作</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3</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加强政务新媒体“瘦身提质”，突出做大做强主账号，积极培育优质精品账号，强化政务新媒体矩阵体系建设，及时大范围转载重要信息</w:t>
            </w:r>
          </w:p>
        </w:tc>
        <w:tc>
          <w:tcPr>
            <w:tcW w:w="2835" w:type="dxa"/>
            <w:vMerge w:val="continue"/>
            <w:noWrap w:val="0"/>
            <w:vAlign w:val="center"/>
          </w:tcPr>
          <w:p>
            <w:pPr>
              <w:jc w:val="both"/>
              <w:rPr>
                <w:rFonts w:hint="eastAsia" w:ascii="宋体" w:hAnsi="宋体" w:eastAsia="宋体" w:cs="宋体"/>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4</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在公开前明确各类信息的公开时限</w:t>
            </w:r>
            <w:r>
              <w:rPr>
                <w:rFonts w:hint="eastAsia" w:ascii="宋体" w:hAnsi="宋体" w:eastAsia="宋体" w:cs="宋体"/>
                <w:b w:val="0"/>
                <w:bCs w:val="0"/>
                <w:sz w:val="21"/>
                <w:szCs w:val="21"/>
                <w:highlight w:val="none"/>
                <w:vertAlign w:val="baseline"/>
                <w:lang w:val="en" w:eastAsia="zh-CN"/>
              </w:rPr>
              <w:t>，</w:t>
            </w:r>
            <w:r>
              <w:rPr>
                <w:rFonts w:hint="eastAsia" w:ascii="宋体" w:hAnsi="宋体" w:eastAsia="宋体" w:cs="宋体"/>
                <w:b w:val="0"/>
                <w:bCs w:val="0"/>
                <w:sz w:val="21"/>
                <w:szCs w:val="21"/>
                <w:highlight w:val="none"/>
                <w:vertAlign w:val="baseline"/>
                <w:lang w:val="en-US" w:eastAsia="zh-CN"/>
              </w:rPr>
              <w:t>建立健全</w:t>
            </w:r>
            <w:r>
              <w:rPr>
                <w:rFonts w:hint="eastAsia" w:ascii="宋体" w:hAnsi="宋体" w:eastAsia="宋体" w:cs="宋体"/>
                <w:b w:val="0"/>
                <w:bCs w:val="0"/>
                <w:sz w:val="21"/>
                <w:szCs w:val="21"/>
                <w:highlight w:val="none"/>
                <w:vertAlign w:val="baseline"/>
                <w:lang w:val="en" w:eastAsia="zh-CN"/>
              </w:rPr>
              <w:t>对</w:t>
            </w:r>
            <w:r>
              <w:rPr>
                <w:rFonts w:hint="eastAsia" w:ascii="宋体" w:hAnsi="宋体" w:eastAsia="宋体" w:cs="宋体"/>
                <w:b w:val="0"/>
                <w:bCs w:val="0"/>
                <w:sz w:val="21"/>
                <w:szCs w:val="21"/>
                <w:highlight w:val="none"/>
                <w:vertAlign w:val="baseline"/>
                <w:lang w:val="en-US" w:eastAsia="zh-CN"/>
              </w:rPr>
              <w:t>已公开信息</w:t>
            </w:r>
            <w:r>
              <w:rPr>
                <w:rFonts w:hint="eastAsia" w:ascii="宋体" w:hAnsi="宋体" w:eastAsia="宋体" w:cs="宋体"/>
                <w:b w:val="0"/>
                <w:bCs w:val="0"/>
                <w:sz w:val="21"/>
                <w:szCs w:val="21"/>
                <w:highlight w:val="none"/>
                <w:vertAlign w:val="baseline"/>
                <w:lang w:val="en" w:eastAsia="zh-CN"/>
              </w:rPr>
              <w:t>的</w:t>
            </w:r>
            <w:r>
              <w:rPr>
                <w:rFonts w:hint="eastAsia" w:ascii="宋体" w:hAnsi="宋体" w:eastAsia="宋体" w:cs="宋体"/>
                <w:b w:val="0"/>
                <w:bCs w:val="0"/>
                <w:sz w:val="21"/>
                <w:szCs w:val="21"/>
                <w:highlight w:val="none"/>
                <w:vertAlign w:val="baseline"/>
                <w:lang w:val="en-US" w:eastAsia="zh-CN"/>
              </w:rPr>
              <w:t>管理制度。更好统筹政务公开和安全保密。依法对拟公开信息进行保密审查，防止泄露国家秘密、工作秘密和敏感信息</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各</w:t>
            </w:r>
            <w:r>
              <w:rPr>
                <w:rFonts w:hint="eastAsia" w:ascii="宋体" w:hAnsi="宋体" w:cs="宋体"/>
                <w:b w:val="0"/>
                <w:bCs w:val="0"/>
                <w:sz w:val="21"/>
                <w:szCs w:val="21"/>
                <w:highlight w:val="none"/>
                <w:vertAlign w:val="baseline"/>
                <w:lang w:val="en-US" w:eastAsia="zh-CN"/>
              </w:rPr>
              <w:t>有关</w:t>
            </w:r>
            <w:r>
              <w:rPr>
                <w:rFonts w:hint="eastAsia" w:ascii="宋体" w:hAnsi="宋体" w:eastAsia="宋体" w:cs="宋体"/>
                <w:b w:val="0"/>
                <w:bCs w:val="0"/>
                <w:sz w:val="21"/>
                <w:szCs w:val="21"/>
                <w:highlight w:val="none"/>
                <w:vertAlign w:val="baseline"/>
                <w:lang w:val="en-US" w:eastAsia="zh-CN"/>
              </w:rPr>
              <w:t>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5</w:t>
            </w:r>
          </w:p>
        </w:tc>
        <w:tc>
          <w:tcPr>
            <w:tcW w:w="631"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拓展优化公开平台</w:t>
            </w:r>
          </w:p>
        </w:tc>
        <w:tc>
          <w:tcPr>
            <w:tcW w:w="1286" w:type="dxa"/>
            <w:vMerge w:val="restart"/>
            <w:noWrap w:val="0"/>
            <w:vAlign w:val="center"/>
          </w:tcPr>
          <w:p>
            <w:pPr>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务实推进政务公开专区特色化建设</w:t>
            </w: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加强政务公开专区建设，以场地建设标准、功能建设需求为重点，以提升为民服务效能为目的，对现有政务公开专区建设进行规范升级，做强政府信息查询、信息公开申请、办事咨询答复等服务，探索实现专区查询服务系统与政府信息公开专栏、政府文件库等互联互通</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工委管委会办公室、</w:t>
            </w:r>
            <w:r>
              <w:rPr>
                <w:rFonts w:hint="eastAsia" w:ascii="宋体" w:hAnsi="宋体" w:eastAsia="宋体" w:cs="宋体"/>
                <w:b w:val="0"/>
                <w:bCs w:val="0"/>
                <w:sz w:val="21"/>
                <w:szCs w:val="21"/>
                <w:highlight w:val="none"/>
                <w:vertAlign w:val="baseline"/>
                <w:lang w:val="en-US" w:eastAsia="zh-CN"/>
              </w:rPr>
              <w:t>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6</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在政务服务大厅、重点公共企事业单位等便民服务场所，筛选打造一批有特色有亮点的品牌专区</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工委管委会办公室、</w:t>
            </w:r>
            <w:r>
              <w:rPr>
                <w:rFonts w:hint="eastAsia" w:ascii="宋体" w:hAnsi="宋体" w:eastAsia="宋体" w:cs="宋体"/>
                <w:b w:val="0"/>
                <w:bCs w:val="0"/>
                <w:sz w:val="21"/>
                <w:szCs w:val="21"/>
                <w:highlight w:val="none"/>
                <w:vertAlign w:val="baseline"/>
                <w:lang w:val="en-US" w:eastAsia="zh-CN"/>
              </w:rPr>
              <w:t>行政审批服务局、</w:t>
            </w:r>
            <w:r>
              <w:rPr>
                <w:rFonts w:hint="eastAsia" w:ascii="宋体" w:hAnsi="宋体" w:cs="宋体"/>
                <w:b w:val="0"/>
                <w:bCs w:val="0"/>
                <w:sz w:val="21"/>
                <w:szCs w:val="21"/>
                <w:highlight w:val="none"/>
                <w:vertAlign w:val="baseline"/>
                <w:lang w:val="en-US" w:eastAsia="zh-CN"/>
              </w:rPr>
              <w:t>教育和体育事业中心</w:t>
            </w:r>
            <w:r>
              <w:rPr>
                <w:rFonts w:hint="eastAsia" w:ascii="宋体" w:hAnsi="宋体" w:eastAsia="宋体" w:cs="宋体"/>
                <w:b w:val="0"/>
                <w:bCs w:val="0"/>
                <w:sz w:val="21"/>
                <w:szCs w:val="21"/>
                <w:highlight w:val="none"/>
                <w:vertAlign w:val="baseline"/>
                <w:lang w:val="en-US" w:eastAsia="zh-CN"/>
              </w:rPr>
              <w:t>、</w:t>
            </w:r>
            <w:r>
              <w:rPr>
                <w:rFonts w:hint="eastAsia" w:ascii="宋体" w:hAnsi="宋体" w:cs="宋体"/>
                <w:b w:val="0"/>
                <w:bCs w:val="0"/>
                <w:sz w:val="21"/>
                <w:szCs w:val="21"/>
                <w:highlight w:val="none"/>
                <w:vertAlign w:val="baseline"/>
                <w:lang w:val="en-US" w:eastAsia="zh-CN"/>
              </w:rPr>
              <w:t>高新区环保局</w:t>
            </w:r>
            <w:r>
              <w:rPr>
                <w:rFonts w:hint="eastAsia" w:ascii="宋体" w:hAnsi="宋体" w:eastAsia="宋体" w:cs="宋体"/>
                <w:b w:val="0"/>
                <w:bCs w:val="0"/>
                <w:sz w:val="21"/>
                <w:szCs w:val="21"/>
                <w:highlight w:val="none"/>
                <w:vertAlign w:val="baseline"/>
                <w:lang w:val="en-US" w:eastAsia="zh-CN"/>
              </w:rPr>
              <w:t>、建设局、</w:t>
            </w:r>
            <w:r>
              <w:rPr>
                <w:rFonts w:hint="eastAsia" w:ascii="宋体" w:hAnsi="宋体" w:cs="宋体"/>
                <w:b w:val="0"/>
                <w:bCs w:val="0"/>
                <w:sz w:val="21"/>
                <w:szCs w:val="21"/>
                <w:highlight w:val="none"/>
                <w:vertAlign w:val="baseline"/>
                <w:lang w:val="en-US" w:eastAsia="zh-CN"/>
              </w:rPr>
              <w:t>卫生健康事业中心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6</w:t>
            </w:r>
            <w:r>
              <w:rPr>
                <w:rFonts w:hint="eastAsia" w:ascii="宋体" w:hAnsi="宋体" w:cs="宋体"/>
                <w:i w:val="0"/>
                <w:color w:val="000000"/>
                <w:kern w:val="0"/>
                <w:sz w:val="21"/>
                <w:szCs w:val="21"/>
                <w:highlight w:val="none"/>
                <w:u w:val="none"/>
                <w:lang w:val="en-US" w:eastAsia="zh-CN" w:bidi="ar"/>
              </w:rPr>
              <w:t>7</w:t>
            </w:r>
          </w:p>
        </w:tc>
        <w:tc>
          <w:tcPr>
            <w:tcW w:w="631"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1286" w:type="dxa"/>
            <w:vMerge w:val="continue"/>
            <w:noWrap w:val="0"/>
            <w:vAlign w:val="center"/>
          </w:tcPr>
          <w:p>
            <w:pPr>
              <w:jc w:val="center"/>
              <w:rPr>
                <w:rFonts w:hint="eastAsia" w:ascii="宋体" w:hAnsi="宋体" w:eastAsia="宋体" w:cs="宋体"/>
                <w:b w:val="0"/>
                <w:bCs w:val="0"/>
                <w:sz w:val="21"/>
                <w:szCs w:val="21"/>
                <w:highlight w:val="none"/>
                <w:vertAlign w:val="baseline"/>
                <w:lang w:val="en-US" w:eastAsia="zh-CN"/>
              </w:rPr>
            </w:pPr>
          </w:p>
        </w:tc>
        <w:tc>
          <w:tcPr>
            <w:tcW w:w="8569"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积极拓展政务公开专区功能，有序开展重要政策现场解读、综合政策咨询、办事流程场景展示等活动，推动公开与服务深度融合</w:t>
            </w:r>
          </w:p>
        </w:tc>
        <w:tc>
          <w:tcPr>
            <w:tcW w:w="2835" w:type="dxa"/>
            <w:noWrap w:val="0"/>
            <w:vAlign w:val="center"/>
          </w:tcPr>
          <w:p>
            <w:pPr>
              <w:jc w:val="both"/>
              <w:rPr>
                <w:rFonts w:hint="eastAsia" w:ascii="宋体" w:hAnsi="宋体" w:eastAsia="宋体" w:cs="宋体"/>
                <w:b w:val="0"/>
                <w:bCs w:val="0"/>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工委管委会办公室、</w:t>
            </w:r>
            <w:r>
              <w:rPr>
                <w:rFonts w:hint="eastAsia" w:ascii="宋体" w:hAnsi="宋体" w:eastAsia="宋体" w:cs="宋体"/>
                <w:b w:val="0"/>
                <w:bCs w:val="0"/>
                <w:sz w:val="21"/>
                <w:szCs w:val="21"/>
                <w:highlight w:val="none"/>
                <w:vertAlign w:val="baseline"/>
                <w:lang w:val="en-US" w:eastAsia="zh-CN"/>
              </w:rPr>
              <w:t>行政审批服务局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7FAE6296"/>
    <w:rsid w:val="028D1E99"/>
    <w:rsid w:val="08DE58A9"/>
    <w:rsid w:val="142E3B87"/>
    <w:rsid w:val="2576312D"/>
    <w:rsid w:val="2E1011BC"/>
    <w:rsid w:val="58323A52"/>
    <w:rsid w:val="58B6636F"/>
    <w:rsid w:val="5FE06CE0"/>
    <w:rsid w:val="63A025B8"/>
    <w:rsid w:val="63E870B3"/>
    <w:rsid w:val="7B8F1EFB"/>
    <w:rsid w:val="7FAE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4670</Words>
  <Characters>4741</Characters>
  <Lines>0</Lines>
  <Paragraphs>0</Paragraphs>
  <TotalTime>1</TotalTime>
  <ScaleCrop>false</ScaleCrop>
  <LinksUpToDate>false</LinksUpToDate>
  <CharactersWithSpaces>4741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2024-05-22T06:55:00Z</dcterms:created>
  <dc:creator>Administrator</dc:creator>
  <cp:lastModifiedBy>Administrator</cp:lastModifiedBy>
  <dcterms:modified xsi:type="dcterms:W3CDTF">2024-06-11T01:15:26Z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CC998E607AC24ADCB5C53F25E01CD2B6_11</vt:lpwstr>
  </property>
</Properties>
</file>