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231F20"/>
          <w:kern w:val="0"/>
          <w:sz w:val="44"/>
          <w:szCs w:val="44"/>
          <w:lang w:val="en-US" w:eastAsia="zh-CN" w:bidi="ar"/>
        </w:rPr>
      </w:pPr>
      <w:r>
        <w:rPr>
          <w:rFonts w:hint="default" w:ascii="Times New Roman" w:hAnsi="Times New Roman" w:eastAsia="方正小标宋_GBK" w:cs="Times New Roman"/>
          <w:color w:val="231F20"/>
          <w:kern w:val="0"/>
          <w:sz w:val="44"/>
          <w:szCs w:val="44"/>
          <w:lang w:val="en-US" w:eastAsia="zh-CN" w:bidi="ar"/>
        </w:rPr>
        <w:t>淄博高新技术产业开发区管理委员会办公室 关于印发2024年淄博高新区政务公开工作</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231F20"/>
          <w:kern w:val="0"/>
          <w:sz w:val="44"/>
          <w:szCs w:val="44"/>
          <w:lang w:val="en-US" w:eastAsia="zh-CN" w:bidi="ar"/>
        </w:rPr>
      </w:pPr>
      <w:r>
        <w:rPr>
          <w:rFonts w:hint="default" w:ascii="Times New Roman" w:hAnsi="Times New Roman" w:eastAsia="方正小标宋_GBK" w:cs="Times New Roman"/>
          <w:color w:val="231F20"/>
          <w:kern w:val="0"/>
          <w:sz w:val="44"/>
          <w:szCs w:val="44"/>
          <w:lang w:val="en-US" w:eastAsia="zh-CN" w:bidi="ar"/>
        </w:rPr>
        <w:t>方案的通知</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231F2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left="960" w:hanging="960" w:hangingChars="300"/>
        <w:jc w:val="left"/>
        <w:textAlignment w:val="auto"/>
        <w:rPr>
          <w:rFonts w:hint="default" w:ascii="Times New Roman" w:hAnsi="Times New Roman" w:eastAsia="仿宋_GB2312" w:cs="Times New Roman"/>
          <w:color w:val="231F20"/>
          <w:kern w:val="0"/>
          <w:sz w:val="32"/>
          <w:szCs w:val="32"/>
          <w:lang w:val="en-US" w:eastAsia="zh-CN" w:bidi="ar"/>
        </w:rPr>
      </w:pPr>
      <w:r>
        <w:rPr>
          <w:rFonts w:hint="default" w:ascii="Times New Roman" w:hAnsi="Times New Roman" w:eastAsia="仿宋_GB2312" w:cs="Times New Roman"/>
          <w:color w:val="231F20"/>
          <w:kern w:val="0"/>
          <w:sz w:val="32"/>
          <w:szCs w:val="32"/>
          <w:lang w:val="en-US" w:eastAsia="zh-CN" w:bidi="ar"/>
        </w:rPr>
        <w:t>各有关单位：</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231F20"/>
          <w:kern w:val="0"/>
          <w:sz w:val="32"/>
          <w:szCs w:val="32"/>
          <w:lang w:val="en-US" w:eastAsia="zh-CN" w:bidi="ar"/>
        </w:rPr>
      </w:pPr>
      <w:r>
        <w:rPr>
          <w:rFonts w:hint="default" w:ascii="Times New Roman" w:hAnsi="Times New Roman" w:eastAsia="仿宋_GB2312" w:cs="Times New Roman"/>
          <w:color w:val="231F20"/>
          <w:kern w:val="0"/>
          <w:sz w:val="32"/>
          <w:szCs w:val="32"/>
          <w:lang w:val="en-US" w:eastAsia="zh-CN" w:bidi="ar"/>
        </w:rPr>
        <w:t>《2024年淄博高新区政务公开工作方案》已经高新区管委会同意，现印发给你们，请认真组织实施。</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231F2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231F2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231F20"/>
          <w:kern w:val="0"/>
          <w:sz w:val="32"/>
          <w:szCs w:val="32"/>
          <w:lang w:val="en-US" w:eastAsia="zh-CN" w:bidi="ar"/>
        </w:rPr>
      </w:pPr>
      <w:r>
        <w:rPr>
          <w:rFonts w:hint="default" w:ascii="Times New Roman" w:hAnsi="Times New Roman" w:eastAsia="仿宋_GB2312" w:cs="Times New Roman"/>
          <w:color w:val="231F20"/>
          <w:kern w:val="0"/>
          <w:sz w:val="32"/>
          <w:szCs w:val="32"/>
          <w:lang w:val="en-US" w:eastAsia="zh-CN" w:bidi="ar"/>
        </w:rPr>
        <w:t xml:space="preserve">                         淄博高新技术产业开发区</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120" w:firstLineChars="1600"/>
        <w:jc w:val="left"/>
        <w:textAlignment w:val="auto"/>
        <w:rPr>
          <w:rFonts w:hint="default" w:ascii="Times New Roman" w:hAnsi="Times New Roman" w:eastAsia="仿宋_GB2312" w:cs="Times New Roman"/>
          <w:color w:val="231F20"/>
          <w:kern w:val="0"/>
          <w:sz w:val="32"/>
          <w:szCs w:val="32"/>
          <w:lang w:val="en-US" w:eastAsia="zh-CN" w:bidi="ar"/>
        </w:rPr>
      </w:pPr>
      <w:r>
        <w:rPr>
          <w:rFonts w:hint="default" w:ascii="Times New Roman" w:hAnsi="Times New Roman" w:eastAsia="仿宋_GB2312" w:cs="Times New Roman"/>
          <w:color w:val="231F20"/>
          <w:kern w:val="0"/>
          <w:sz w:val="32"/>
          <w:szCs w:val="32"/>
          <w:lang w:val="en-US" w:eastAsia="zh-CN" w:bidi="ar"/>
        </w:rPr>
        <w:t>管理委员会办公室</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120" w:firstLineChars="1600"/>
        <w:jc w:val="left"/>
        <w:textAlignment w:val="auto"/>
        <w:rPr>
          <w:rFonts w:hint="default" w:ascii="Times New Roman" w:hAnsi="Times New Roman" w:eastAsia="仿宋_GB2312" w:cs="Times New Roman"/>
          <w:color w:val="231F20"/>
          <w:kern w:val="0"/>
          <w:sz w:val="32"/>
          <w:szCs w:val="32"/>
          <w:lang w:val="en-US" w:eastAsia="zh-CN" w:bidi="ar"/>
        </w:rPr>
      </w:pPr>
      <w:r>
        <w:rPr>
          <w:rFonts w:hint="default" w:ascii="Times New Roman" w:hAnsi="Times New Roman" w:eastAsia="仿宋_GB2312" w:cs="Times New Roman"/>
          <w:color w:val="231F20"/>
          <w:kern w:val="0"/>
          <w:sz w:val="32"/>
          <w:szCs w:val="32"/>
          <w:lang w:val="en-US" w:eastAsia="zh-CN" w:bidi="ar"/>
        </w:rPr>
        <w:t>2024年</w:t>
      </w:r>
      <w:r>
        <w:rPr>
          <w:rFonts w:hint="eastAsia" w:ascii="Times New Roman" w:hAnsi="Times New Roman" w:eastAsia="仿宋_GB2312" w:cs="Times New Roman"/>
          <w:color w:val="231F20"/>
          <w:kern w:val="0"/>
          <w:sz w:val="32"/>
          <w:szCs w:val="32"/>
          <w:lang w:val="en-US" w:eastAsia="zh-CN" w:bidi="ar"/>
        </w:rPr>
        <w:t>6</w:t>
      </w:r>
      <w:r>
        <w:rPr>
          <w:rFonts w:hint="default" w:ascii="Times New Roman" w:hAnsi="Times New Roman" w:eastAsia="仿宋_GB2312" w:cs="Times New Roman"/>
          <w:color w:val="231F20"/>
          <w:kern w:val="0"/>
          <w:sz w:val="32"/>
          <w:szCs w:val="32"/>
          <w:lang w:val="en-US" w:eastAsia="zh-CN" w:bidi="ar"/>
        </w:rPr>
        <w:t>月</w:t>
      </w:r>
      <w:r>
        <w:rPr>
          <w:rFonts w:hint="eastAsia" w:ascii="Times New Roman" w:hAnsi="Times New Roman" w:eastAsia="仿宋_GB2312" w:cs="Times New Roman"/>
          <w:color w:val="231F20"/>
          <w:kern w:val="0"/>
          <w:sz w:val="32"/>
          <w:szCs w:val="32"/>
          <w:lang w:val="en-US" w:eastAsia="zh-CN" w:bidi="ar"/>
        </w:rPr>
        <w:t>7</w:t>
      </w:r>
      <w:bookmarkStart w:id="0" w:name="_GoBack"/>
      <w:bookmarkEnd w:id="0"/>
      <w:r>
        <w:rPr>
          <w:rFonts w:hint="default" w:ascii="Times New Roman" w:hAnsi="Times New Roman" w:eastAsia="仿宋_GB2312" w:cs="Times New Roman"/>
          <w:color w:val="231F20"/>
          <w:kern w:val="0"/>
          <w:sz w:val="32"/>
          <w:szCs w:val="32"/>
          <w:lang w:val="en-US" w:eastAsia="zh-CN" w:bidi="ar"/>
        </w:rPr>
        <w:t>日</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231F20"/>
          <w:kern w:val="0"/>
          <w:sz w:val="32"/>
          <w:szCs w:val="32"/>
          <w:lang w:val="en-US" w:eastAsia="zh-CN" w:bidi="ar"/>
        </w:rPr>
      </w:pPr>
      <w:r>
        <w:rPr>
          <w:rFonts w:hint="default" w:ascii="Times New Roman" w:hAnsi="Times New Roman" w:eastAsia="仿宋_GB2312" w:cs="Times New Roman"/>
          <w:color w:val="231F20"/>
          <w:kern w:val="0"/>
          <w:sz w:val="32"/>
          <w:szCs w:val="32"/>
          <w:lang w:val="en-US" w:eastAsia="zh-CN" w:bidi="ar"/>
        </w:rPr>
        <w:t>（此件公开发布）</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231F2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231F2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231F2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231F2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231F2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231F2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231F2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231F20"/>
          <w:kern w:val="0"/>
          <w:sz w:val="32"/>
          <w:szCs w:val="32"/>
          <w:lang w:val="en-US" w:eastAsia="zh-CN" w:bidi="ar"/>
        </w:rPr>
      </w:pPr>
      <w:r>
        <w:rPr>
          <w:rFonts w:hint="default" w:ascii="Times New Roman" w:hAnsi="Times New Roman" w:eastAsia="仿宋_GB2312" w:cs="Times New Roman"/>
          <w:color w:val="231F20"/>
          <w:kern w:val="0"/>
          <w:sz w:val="32"/>
          <w:szCs w:val="32"/>
          <w:lang w:val="en-US" w:eastAsia="zh-CN" w:bidi="ar"/>
        </w:rPr>
        <w:t xml:space="preserve"> </w:t>
      </w:r>
    </w:p>
    <w:p>
      <w:pPr>
        <w:keepNext w:val="0"/>
        <w:keepLines w:val="0"/>
        <w:widowControl/>
        <w:suppressLineNumbers w:val="0"/>
        <w:jc w:val="left"/>
        <w:rPr>
          <w:rFonts w:hint="default" w:ascii="Times New Roman" w:hAnsi="Times New Roman" w:cs="Times New Roman"/>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231F2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color w:val="231F20"/>
          <w:kern w:val="0"/>
          <w:sz w:val="44"/>
          <w:szCs w:val="44"/>
          <w:lang w:val="en-US" w:eastAsia="zh-CN" w:bidi="ar"/>
        </w:rPr>
        <w:t>2024年淄博高新区政务公开工作方案</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231F2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231F20"/>
          <w:kern w:val="0"/>
          <w:sz w:val="32"/>
          <w:szCs w:val="32"/>
          <w:lang w:val="en-US" w:eastAsia="zh-CN" w:bidi="ar"/>
        </w:rPr>
      </w:pPr>
      <w:r>
        <w:rPr>
          <w:rFonts w:hint="default" w:ascii="Times New Roman" w:hAnsi="Times New Roman" w:eastAsia="仿宋_GB2312" w:cs="Times New Roman"/>
          <w:color w:val="231F20"/>
          <w:kern w:val="0"/>
          <w:sz w:val="32"/>
          <w:szCs w:val="32"/>
          <w:lang w:val="en-US" w:eastAsia="zh-CN" w:bidi="ar"/>
        </w:rPr>
        <w:t>为深入贯彻落实国家政务公开的决策部署和省、市有关工作要求，推动</w:t>
      </w:r>
      <w:r>
        <w:rPr>
          <w:rFonts w:hint="default" w:ascii="Times New Roman" w:hAnsi="Times New Roman" w:eastAsia="仿宋_GB2312" w:cs="Times New Roman"/>
          <w:color w:val="231F20"/>
          <w:kern w:val="0"/>
          <w:sz w:val="32"/>
          <w:szCs w:val="32"/>
          <w:lang w:eastAsia="zh-CN" w:bidi="ar"/>
        </w:rPr>
        <w:t>全区</w:t>
      </w:r>
      <w:r>
        <w:rPr>
          <w:rFonts w:hint="default" w:ascii="Times New Roman" w:hAnsi="Times New Roman" w:eastAsia="仿宋_GB2312" w:cs="Times New Roman"/>
          <w:color w:val="231F20"/>
          <w:kern w:val="0"/>
          <w:sz w:val="32"/>
          <w:szCs w:val="32"/>
          <w:lang w:val="en-US" w:eastAsia="zh-CN" w:bidi="ar"/>
        </w:rPr>
        <w:t>政务公开工作扎实有效开展，制定本方案。</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color w:val="231F20"/>
          <w:kern w:val="0"/>
          <w:sz w:val="32"/>
          <w:szCs w:val="32"/>
          <w:lang w:val="en-US" w:eastAsia="zh-CN" w:bidi="ar"/>
        </w:rPr>
        <w:t>一、总体要求</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231F20"/>
          <w:kern w:val="0"/>
          <w:sz w:val="32"/>
          <w:szCs w:val="32"/>
          <w:lang w:val="en-US" w:eastAsia="zh-CN" w:bidi="ar"/>
        </w:rPr>
        <w:t>坚持以习近平新时代中国特色社会主义思想为指导，全面贯彻落实党的二十大精神，准确把握新时代政务公开新形势、新要</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231F20"/>
          <w:kern w:val="0"/>
          <w:sz w:val="32"/>
          <w:szCs w:val="32"/>
          <w:lang w:val="en-US" w:eastAsia="zh-CN" w:bidi="ar"/>
        </w:rPr>
      </w:pPr>
      <w:r>
        <w:rPr>
          <w:rFonts w:hint="default" w:ascii="Times New Roman" w:hAnsi="Times New Roman" w:eastAsia="仿宋_GB2312" w:cs="Times New Roman"/>
          <w:color w:val="231F20"/>
          <w:kern w:val="0"/>
          <w:sz w:val="32"/>
          <w:szCs w:val="32"/>
          <w:lang w:val="en-US" w:eastAsia="zh-CN" w:bidi="ar"/>
        </w:rPr>
        <w:t>求，紧紧围绕</w:t>
      </w:r>
      <w:r>
        <w:rPr>
          <w:rFonts w:hint="default" w:ascii="Times New Roman" w:hAnsi="Times New Roman" w:eastAsia="仿宋_GB2312" w:cs="Times New Roman"/>
          <w:color w:val="231F20"/>
          <w:kern w:val="0"/>
          <w:sz w:val="32"/>
          <w:szCs w:val="32"/>
          <w:lang w:eastAsia="zh-CN" w:bidi="ar"/>
        </w:rPr>
        <w:t>高新区</w:t>
      </w:r>
      <w:r>
        <w:rPr>
          <w:rFonts w:hint="default" w:ascii="Times New Roman" w:hAnsi="Times New Roman" w:eastAsia="仿宋_GB2312" w:cs="Times New Roman"/>
          <w:color w:val="231F20"/>
          <w:kern w:val="0"/>
          <w:sz w:val="32"/>
          <w:szCs w:val="32"/>
          <w:lang w:val="en-US" w:eastAsia="zh-CN" w:bidi="ar"/>
        </w:rPr>
        <w:t>工作，统筹政务公开与安全保密，更好发挥以公开促落实、优服务、强监管作用，切实推动政务公开工作高质量、高标准推进，为高新区打造“五个新高地”贡献更多力量。</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color w:val="231F20"/>
          <w:kern w:val="0"/>
          <w:sz w:val="32"/>
          <w:szCs w:val="32"/>
          <w:lang w:val="en-US" w:eastAsia="zh-CN" w:bidi="ar"/>
        </w:rPr>
        <w:t>二、主要任务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_GB2312" w:cs="Times New Roman"/>
          <w:color w:val="231F20"/>
          <w:kern w:val="0"/>
          <w:sz w:val="32"/>
          <w:szCs w:val="32"/>
          <w:lang w:val="en-US" w:eastAsia="zh-CN" w:bidi="ar"/>
        </w:rPr>
      </w:pPr>
      <w:r>
        <w:rPr>
          <w:rFonts w:hint="default" w:ascii="Times New Roman" w:hAnsi="Times New Roman" w:eastAsia="楷体_GB2312" w:cs="Times New Roman"/>
          <w:color w:val="231F20"/>
          <w:kern w:val="0"/>
          <w:sz w:val="32"/>
          <w:szCs w:val="32"/>
          <w:lang w:val="en-US" w:eastAsia="zh-CN" w:bidi="ar"/>
        </w:rPr>
        <w:t>（一）以政务公开助推重点工作落实</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color w:val="231F20"/>
          <w:kern w:val="0"/>
          <w:sz w:val="32"/>
          <w:szCs w:val="32"/>
          <w:lang w:val="en-US" w:eastAsia="zh-CN" w:bidi="ar"/>
        </w:rPr>
        <w:t>助推高水平开放、高质量招商引资方面：</w:t>
      </w:r>
      <w:r>
        <w:rPr>
          <w:rFonts w:hint="default" w:ascii="Times New Roman" w:hAnsi="Times New Roman" w:eastAsia="仿宋_GB2312" w:cs="Times New Roman"/>
          <w:color w:val="231F20"/>
          <w:kern w:val="0"/>
          <w:sz w:val="32"/>
          <w:szCs w:val="32"/>
          <w:lang w:val="en-US" w:eastAsia="zh-CN" w:bidi="ar"/>
        </w:rPr>
        <w:t>重点做好扩大有效投资、促进招商引资、高水平对外开放、支持民间投资发展等政策措施以及新能源汽车、绿色智能家电、特色医疗、健康养老、体育赛事、文娱旅游、住房改善等领域消费支持政策公开，促进经济巩固向好，加快绿色低碳高质量发展。</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231F20"/>
          <w:kern w:val="0"/>
          <w:sz w:val="32"/>
          <w:szCs w:val="32"/>
          <w:lang w:val="en-US" w:eastAsia="zh-CN" w:bidi="ar"/>
        </w:rPr>
        <w:t>助推社会治理精细化方面：重点做好城市更新、乡村振兴、生态环境保护、生活垃圾分类、农资补助发放、土地及房屋征收补偿安置等领域的信息公开，加强对小微权力运行的监督，推动社会治理精细化。</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231F20"/>
          <w:kern w:val="0"/>
          <w:sz w:val="32"/>
          <w:szCs w:val="32"/>
          <w:lang w:val="en-US" w:eastAsia="zh-CN" w:bidi="ar"/>
        </w:rPr>
        <w:t>助推人民群众生活品质提高方面：重点做好稳就业促增收、大规模设备更新和消费品以旧换新、医疗卫生服务能力提升、重大疾病和传染病防控、住房保障、教育、养老托育、社会救助等领域的信息公开，满足人民群众知情权，增强人民群众的获得感和认同感。</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231F20"/>
          <w:kern w:val="0"/>
          <w:sz w:val="32"/>
          <w:szCs w:val="32"/>
          <w:lang w:val="en-US" w:eastAsia="zh-CN" w:bidi="ar"/>
        </w:rPr>
        <w:t>助推监管效能提升方面：重点做好机构改革后部门职能和权责清单的调整以及行政执法公示、行政事业性收费、政府性基金目录、公共资源配置、公共企事业单位、市场监管制度规则和标准等领域的信息公开，明确监管职责，提高监管透明度。</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_GB2312" w:cs="Times New Roman"/>
          <w:color w:val="231F20"/>
          <w:kern w:val="0"/>
          <w:sz w:val="32"/>
          <w:szCs w:val="32"/>
          <w:lang w:val="en-US" w:eastAsia="zh-CN" w:bidi="ar"/>
        </w:rPr>
      </w:pPr>
      <w:r>
        <w:rPr>
          <w:rFonts w:hint="default" w:ascii="Times New Roman" w:hAnsi="Times New Roman" w:eastAsia="楷体_GB2312" w:cs="Times New Roman"/>
          <w:color w:val="231F20"/>
          <w:kern w:val="0"/>
          <w:sz w:val="32"/>
          <w:szCs w:val="32"/>
          <w:lang w:val="en-US" w:eastAsia="zh-CN" w:bidi="ar"/>
        </w:rPr>
        <w:t>做好政策公开与解读回应</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231F20"/>
          <w:kern w:val="0"/>
          <w:sz w:val="32"/>
          <w:szCs w:val="32"/>
          <w:lang w:val="en-US" w:eastAsia="zh-CN" w:bidi="ar"/>
        </w:rPr>
      </w:pPr>
      <w:r>
        <w:rPr>
          <w:rFonts w:hint="default" w:ascii="Times New Roman" w:hAnsi="Times New Roman" w:eastAsia="仿宋_GB2312" w:cs="Times New Roman"/>
          <w:color w:val="231F20"/>
          <w:kern w:val="0"/>
          <w:sz w:val="32"/>
          <w:szCs w:val="32"/>
          <w:lang w:val="en-US" w:eastAsia="zh-CN" w:bidi="ar"/>
        </w:rPr>
        <w:t>加强政府文件集中公开工作，要根据立改废情况对已公开政策进行动态更新，以公开的准确性保障执行的准确性。强化政策集成供给，选取部分企业群众关注度高、办事需求大、政策体量大的领域，实施政策集成式发布和一站式公开，最大限度利企便民。</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231F20"/>
          <w:kern w:val="0"/>
          <w:sz w:val="32"/>
          <w:szCs w:val="32"/>
          <w:lang w:val="en-US" w:eastAsia="zh-CN" w:bidi="ar"/>
        </w:rPr>
        <w:t>聚焦扩大有效需求、培育和发展新质生产力、数字经济、重点改革、高水平开放、高质量招商引资、乡村振兴、新型城镇化建设、降碳减污扩绿、保障改善民生等，深入开展政策解读，加速释放政策红利。要丰富解读形式、提升解读效果，让企业群众看得懂、用得上。</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231F20"/>
          <w:kern w:val="0"/>
          <w:sz w:val="32"/>
          <w:szCs w:val="32"/>
          <w:lang w:val="en-US" w:eastAsia="zh-CN" w:bidi="ar"/>
        </w:rPr>
      </w:pPr>
      <w:r>
        <w:rPr>
          <w:rFonts w:hint="default" w:ascii="Times New Roman" w:hAnsi="Times New Roman" w:eastAsia="楷体_GB2312" w:cs="Times New Roman"/>
          <w:color w:val="231F20"/>
          <w:kern w:val="0"/>
          <w:sz w:val="32"/>
          <w:szCs w:val="32"/>
          <w:lang w:val="en-US" w:eastAsia="zh-CN" w:bidi="ar"/>
        </w:rPr>
        <w:t>（三）深化政民互动与公众参与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231F20"/>
          <w:kern w:val="0"/>
          <w:sz w:val="32"/>
          <w:szCs w:val="32"/>
          <w:lang w:val="en-US" w:eastAsia="zh-CN" w:bidi="ar"/>
        </w:rPr>
        <w:t>严格履行重大决策公众参与程序，进一步完善意见征集、采纳、反馈等工作机制。制定涉企政策时要主动听取相关企业、行业协会商会的意见。探索建立政务公开监督员制度，继续推进邀请利益相关方、公众代表、专家、媒体等列席政府有关会议工作。列席代表的意见发表和采纳情况向社会公开。常态化开展政策评价，评价结果和运用情况向社会公开。</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231F20"/>
          <w:kern w:val="0"/>
          <w:sz w:val="32"/>
          <w:szCs w:val="32"/>
          <w:lang w:val="en-US" w:eastAsia="zh-CN" w:bidi="ar"/>
        </w:rPr>
      </w:pPr>
      <w:r>
        <w:rPr>
          <w:rFonts w:hint="default" w:ascii="Times New Roman" w:hAnsi="Times New Roman" w:eastAsia="仿宋_GB2312" w:cs="Times New Roman"/>
          <w:color w:val="231F20"/>
          <w:kern w:val="0"/>
          <w:sz w:val="32"/>
          <w:szCs w:val="32"/>
          <w:lang w:val="en-US" w:eastAsia="zh-CN" w:bidi="ar"/>
        </w:rPr>
        <w:t>各部门单位特别是与宏观经济和民生关系密切的部门单位要通过多种形式常态化开展政府开放活动，让公众了解政府工作，反映意见诉求。鼓励以公开征集意见的方式确定活动主题。</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color w:val="231F20"/>
          <w:kern w:val="0"/>
          <w:sz w:val="32"/>
          <w:szCs w:val="32"/>
          <w:lang w:val="en-US" w:eastAsia="zh-CN" w:bidi="ar"/>
        </w:rPr>
        <w:t>（四）提升依申请公开办理质效</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231F20"/>
          <w:kern w:val="0"/>
          <w:sz w:val="32"/>
          <w:szCs w:val="32"/>
          <w:lang w:val="en-US" w:eastAsia="zh-CN" w:bidi="ar"/>
        </w:rPr>
        <w:t>畅通政府信息公开申请渠道，规范办理流程，提升答复质量，主动与申请人沟通，推动申请人合理诉求实质性解决。围绕征地拆迁、国土空间规划、社会保障等企业群众高度关注领域，推动申请较为集中的政府信息向主动公开转化。对影响面广、敏感度高的申请，要加强会商，妥善处理。开展依申请公开工作暗访检查，对存在的问题进行点评反馈，不断规范受理、答复行为。加强对信息公开复议、诉讼案件特别是败诉案件的分析研究，掌握成案及败诉原因，采取针对性措施加以改进。</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color w:val="231F20"/>
          <w:kern w:val="0"/>
          <w:sz w:val="32"/>
          <w:szCs w:val="32"/>
          <w:lang w:val="en-US" w:eastAsia="zh-CN" w:bidi="ar"/>
        </w:rPr>
        <w:t>（五）完善主动公开事项目录体系</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231F20"/>
          <w:kern w:val="0"/>
          <w:sz w:val="32"/>
          <w:szCs w:val="32"/>
          <w:lang w:val="en-US" w:eastAsia="zh-CN" w:bidi="ar"/>
        </w:rPr>
        <w:t>以正在执行的主动公开基本目录和各领域基层政务公开事项标准目录为基础，全面梳理法律、法规、规章中关于主动公开信息的规定，逐项明确公开主体、内容、时限、方式、渠道、责任等要素，编制政府及部门单位主动公开事项目录，做到法定公开事项公开到位，其他事项审慎主动公开。主动公开事项目录编制完成后，原有主动公开基本目录不再保留。全力抓好主动公开事项目录落实，同步调整政府网站栏目，完善其他公开渠道，确保事项目录要求与实际公开内容一致。目录编制及落实工作按照上级专门部署压茬进行。</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color w:val="231F20"/>
          <w:kern w:val="0"/>
          <w:sz w:val="32"/>
          <w:szCs w:val="32"/>
          <w:lang w:val="en-US" w:eastAsia="zh-CN" w:bidi="ar"/>
        </w:rPr>
        <w:t>（六）拓展优化公开平台</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231F20"/>
          <w:kern w:val="0"/>
          <w:sz w:val="32"/>
          <w:szCs w:val="32"/>
          <w:lang w:val="en-US" w:eastAsia="zh-CN" w:bidi="ar"/>
        </w:rPr>
        <w:t>突出政府网站信息发布、解读回应、办事服务、互动交流等功能，构建政府网站为主、其他发布渠道为辅的公开平台。配合市级部门推动12345政务服务便民热线与政务服务平台、政府网站互动交流系统、政务新媒体等互联互通，共享共用政策业务咨询问答知识库。强化政府网站和政务新媒体管理，在公开前明确各类信息的公开时限，建立健全对已公开信息的管理制度。更好统筹政务公开和安全保密，起草部门依法对拟公开信息进行保密审查，防止国家秘密、工作秘密和敏感信息泄露。以提升服务效能为目的，对现有政务公开专区进行规范升级，有序开展重要政策现场解读、综合政策咨询、办事流程场景展示等活动，打造一批有特色、有亮点的品牌专区。探索适合基层特点的公开渠道，推动基层政务公开与村（居）务公开衔接协同。</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color w:val="231F20"/>
          <w:kern w:val="0"/>
          <w:sz w:val="32"/>
          <w:szCs w:val="32"/>
          <w:lang w:val="en-US" w:eastAsia="zh-CN" w:bidi="ar"/>
        </w:rPr>
        <w:t>三、组织领导和工作保障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color w:val="231F20"/>
          <w:kern w:val="0"/>
          <w:sz w:val="32"/>
          <w:szCs w:val="32"/>
          <w:lang w:val="en-US" w:eastAsia="zh-CN" w:bidi="ar"/>
        </w:rPr>
        <w:t>（一）加强组织领导。</w:t>
      </w:r>
      <w:r>
        <w:rPr>
          <w:rFonts w:hint="default" w:ascii="Times New Roman" w:hAnsi="Times New Roman" w:eastAsia="仿宋_GB2312" w:cs="Times New Roman"/>
          <w:color w:val="231F20"/>
          <w:kern w:val="0"/>
          <w:sz w:val="32"/>
          <w:szCs w:val="32"/>
          <w:lang w:val="en-US" w:eastAsia="zh-CN" w:bidi="ar"/>
        </w:rPr>
        <w:t>各部门单位要加强政务公开队伍建设，配齐配强工作力量，推动业务工作与政务公开深度融合，定期听取政务公开工作汇报并研究解决重点难点问题。对需要多部门、多机构配合的公开任务，要加强协调，形成合力，确保各项工作落实到位。</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color w:val="231F20"/>
          <w:kern w:val="0"/>
          <w:sz w:val="32"/>
          <w:szCs w:val="32"/>
          <w:lang w:val="en-US" w:eastAsia="zh-CN" w:bidi="ar"/>
        </w:rPr>
        <w:t>（二）全面开展培训。</w:t>
      </w:r>
      <w:r>
        <w:rPr>
          <w:rFonts w:hint="default" w:ascii="Times New Roman" w:hAnsi="Times New Roman" w:eastAsia="仿宋_GB2312" w:cs="Times New Roman"/>
          <w:color w:val="231F20"/>
          <w:kern w:val="0"/>
          <w:sz w:val="32"/>
          <w:szCs w:val="32"/>
          <w:lang w:val="en-US" w:eastAsia="zh-CN" w:bidi="ar"/>
        </w:rPr>
        <w:t>推动把政务公开法规政策纳入领导干部学法、各类公务员培训内容，提升全体政府工作人员公开意识。各部门单位年内至少组织一次专门业务培训，推动持续提升公开能力。</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color w:val="231F20"/>
          <w:kern w:val="0"/>
          <w:sz w:val="32"/>
          <w:szCs w:val="32"/>
          <w:lang w:val="en-US" w:eastAsia="zh-CN" w:bidi="ar"/>
        </w:rPr>
        <w:t>（三）广泛学习交流。</w:t>
      </w:r>
      <w:r>
        <w:rPr>
          <w:rFonts w:hint="default" w:ascii="Times New Roman" w:hAnsi="Times New Roman" w:eastAsia="仿宋_GB2312" w:cs="Times New Roman"/>
          <w:color w:val="231F20"/>
          <w:kern w:val="0"/>
          <w:sz w:val="32"/>
          <w:szCs w:val="32"/>
          <w:lang w:val="en-US" w:eastAsia="zh-CN" w:bidi="ar"/>
        </w:rPr>
        <w:t>各部门单位要主动对标政务公开先进地区和先进单位，采取走出去、请进来、网上学等多种方式，积极借鉴目录编制、栏目设置、内容维护以及工作推进等方面的经验做法，切实提升本部门单位政务公开工作水平。要注重总结提炼政务公开工作经验、典型案例，积极宣传推广，充分发挥示范引领作用，营造“互学互鉴、比学赶超”的浓厚氛围。</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color w:val="231F20"/>
          <w:kern w:val="0"/>
          <w:sz w:val="32"/>
          <w:szCs w:val="32"/>
          <w:lang w:val="en-US" w:eastAsia="zh-CN" w:bidi="ar"/>
        </w:rPr>
        <w:t>（四）强化监督考核。</w:t>
      </w:r>
      <w:r>
        <w:rPr>
          <w:rFonts w:hint="default" w:ascii="Times New Roman" w:hAnsi="Times New Roman" w:eastAsia="仿宋_GB2312" w:cs="Times New Roman"/>
          <w:color w:val="231F20"/>
          <w:kern w:val="0"/>
          <w:sz w:val="32"/>
          <w:szCs w:val="32"/>
          <w:lang w:val="en-US" w:eastAsia="zh-CN" w:bidi="ar"/>
        </w:rPr>
        <w:t>加强日常监测反馈，做好市级政务公开年度考核相关工作，增强各部门单位公开主动性，推动政务公开常态化开展。夯实“管业务就要管公开”工作机制，各部门单位要积极与市级对口单位进行对接，同步做好相应公开工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231F20"/>
          <w:kern w:val="0"/>
          <w:sz w:val="32"/>
          <w:szCs w:val="32"/>
          <w:lang w:val="en-US" w:eastAsia="zh-CN" w:bidi="ar"/>
        </w:rPr>
      </w:pPr>
      <w:r>
        <w:rPr>
          <w:rFonts w:hint="default" w:ascii="Times New Roman" w:hAnsi="Times New Roman" w:eastAsia="仿宋_GB2312" w:cs="Times New Roman"/>
          <w:color w:val="231F20"/>
          <w:kern w:val="0"/>
          <w:sz w:val="32"/>
          <w:szCs w:val="32"/>
          <w:lang w:val="en-US" w:eastAsia="zh-CN" w:bidi="ar"/>
        </w:rPr>
        <w:t>各部门单位要对照本方案提出的重点任务，梳理形成工作配档表，实时跟进推动，并将落实情况纳入政府信息公开工作年度报告予以公开，接受社会监督。</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231F2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231F20"/>
          <w:kern w:val="0"/>
          <w:sz w:val="32"/>
          <w:szCs w:val="32"/>
          <w:lang w:val="en-US" w:eastAsia="zh-CN" w:bidi="ar"/>
        </w:rPr>
        <w:t>附件：1.2024年淄博高新区政务公开重点工作分解表</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1600" w:firstLineChars="5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231F20"/>
          <w:kern w:val="0"/>
          <w:sz w:val="32"/>
          <w:szCs w:val="32"/>
          <w:lang w:val="en-US" w:eastAsia="zh-CN" w:bidi="ar"/>
        </w:rPr>
        <w:t>2.政府开放活动计划安排报送表</w:t>
      </w:r>
    </w:p>
    <w:sectPr>
      <w:footerReference r:id="rId3" w:type="default"/>
      <w:pgSz w:w="11906" w:h="16838"/>
      <w:pgMar w:top="2041" w:right="1474" w:bottom="187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422"/>
        <w:tab w:val="clear" w:pos="4153"/>
      </w:tabs>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eastAsiaTheme="minorEastAsia"/>
                              <w:sz w:val="28"/>
                              <w:szCs w:val="44"/>
                              <w:lang w:val="en-US" w:eastAsia="zh-CN"/>
                            </w:rPr>
                          </w:pPr>
                          <w:r>
                            <w:rPr>
                              <w:rFonts w:hint="eastAsia"/>
                              <w:sz w:val="28"/>
                              <w:szCs w:val="44"/>
                              <w:lang w:val="en-US" w:eastAsia="zh-CN"/>
                            </w:rPr>
                            <w:t xml:space="preserve">- </w:t>
                          </w:r>
                          <w:r>
                            <w:rPr>
                              <w:sz w:val="28"/>
                              <w:szCs w:val="44"/>
                            </w:rPr>
                            <w:fldChar w:fldCharType="begin"/>
                          </w:r>
                          <w:r>
                            <w:rPr>
                              <w:sz w:val="28"/>
                              <w:szCs w:val="44"/>
                            </w:rPr>
                            <w:instrText xml:space="preserve"> PAGE  \* MERGEFORMAT </w:instrText>
                          </w:r>
                          <w:r>
                            <w:rPr>
                              <w:sz w:val="28"/>
                              <w:szCs w:val="44"/>
                            </w:rPr>
                            <w:fldChar w:fldCharType="separate"/>
                          </w:r>
                          <w:r>
                            <w:rPr>
                              <w:sz w:val="28"/>
                              <w:szCs w:val="44"/>
                            </w:rPr>
                            <w:t>1</w:t>
                          </w:r>
                          <w:r>
                            <w:rPr>
                              <w:sz w:val="28"/>
                              <w:szCs w:val="44"/>
                            </w:rPr>
                            <w:fldChar w:fldCharType="end"/>
                          </w:r>
                          <w:r>
                            <w:rPr>
                              <w:rFonts w:hint="eastAsia"/>
                              <w:sz w:val="28"/>
                              <w:szCs w:val="44"/>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default" w:eastAsiaTheme="minorEastAsia"/>
                        <w:sz w:val="28"/>
                        <w:szCs w:val="44"/>
                        <w:lang w:val="en-US" w:eastAsia="zh-CN"/>
                      </w:rPr>
                    </w:pPr>
                    <w:r>
                      <w:rPr>
                        <w:rFonts w:hint="eastAsia"/>
                        <w:sz w:val="28"/>
                        <w:szCs w:val="44"/>
                        <w:lang w:val="en-US" w:eastAsia="zh-CN"/>
                      </w:rPr>
                      <w:t xml:space="preserve">- </w:t>
                    </w:r>
                    <w:r>
                      <w:rPr>
                        <w:sz w:val="28"/>
                        <w:szCs w:val="44"/>
                      </w:rPr>
                      <w:fldChar w:fldCharType="begin"/>
                    </w:r>
                    <w:r>
                      <w:rPr>
                        <w:sz w:val="28"/>
                        <w:szCs w:val="44"/>
                      </w:rPr>
                      <w:instrText xml:space="preserve"> PAGE  \* MERGEFORMAT </w:instrText>
                    </w:r>
                    <w:r>
                      <w:rPr>
                        <w:sz w:val="28"/>
                        <w:szCs w:val="44"/>
                      </w:rPr>
                      <w:fldChar w:fldCharType="separate"/>
                    </w:r>
                    <w:r>
                      <w:rPr>
                        <w:sz w:val="28"/>
                        <w:szCs w:val="44"/>
                      </w:rPr>
                      <w:t>1</w:t>
                    </w:r>
                    <w:r>
                      <w:rPr>
                        <w:sz w:val="28"/>
                        <w:szCs w:val="44"/>
                      </w:rPr>
                      <w:fldChar w:fldCharType="end"/>
                    </w:r>
                    <w:r>
                      <w:rPr>
                        <w:rFonts w:hint="eastAsia"/>
                        <w:sz w:val="28"/>
                        <w:szCs w:val="44"/>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A995D7"/>
    <w:multiLevelType w:val="singleLevel"/>
    <w:tmpl w:val="11A995D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mYWQyMWJkYzU4ZjdkMGNiZjNmYWVhNTE1Zjc0ZjcifQ=="/>
  </w:docVars>
  <w:rsids>
    <w:rsidRoot w:val="17E8357A"/>
    <w:rsid w:val="03FB7EB5"/>
    <w:rsid w:val="075D60E3"/>
    <w:rsid w:val="10B826B2"/>
    <w:rsid w:val="11962175"/>
    <w:rsid w:val="17E8357A"/>
    <w:rsid w:val="18FA248A"/>
    <w:rsid w:val="1BCD5D82"/>
    <w:rsid w:val="1D0B7468"/>
    <w:rsid w:val="277E52D7"/>
    <w:rsid w:val="2E5F5C8B"/>
    <w:rsid w:val="41222E6E"/>
    <w:rsid w:val="435076E2"/>
    <w:rsid w:val="47195E2A"/>
    <w:rsid w:val="47FB1D04"/>
    <w:rsid w:val="4D3F1B90"/>
    <w:rsid w:val="55DC0321"/>
    <w:rsid w:val="5DAD4CDB"/>
    <w:rsid w:val="66183441"/>
    <w:rsid w:val="6669040E"/>
    <w:rsid w:val="6B9B0081"/>
    <w:rsid w:val="6C41527C"/>
    <w:rsid w:val="6CDB1A5B"/>
    <w:rsid w:val="6E1E4AB4"/>
    <w:rsid w:val="7C2177D7"/>
    <w:rsid w:val="7F404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2688</Words>
  <Characters>2711</Characters>
  <Lines>0</Lines>
  <Paragraphs>0</Paragraphs>
  <TotalTime>30</TotalTime>
  <ScaleCrop>false</ScaleCrop>
  <LinksUpToDate>false</LinksUpToDate>
  <CharactersWithSpaces>2738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2024-05-21T06:21:00Z</dcterms:created>
  <dc:creator>Administrator</dc:creator>
  <cp:lastModifiedBy>Administrator</cp:lastModifiedBy>
  <cp:lastPrinted>2024-05-23T09:22:00Z</cp:lastPrinted>
  <dcterms:modified xsi:type="dcterms:W3CDTF">2024-07-08T06:49:10Z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4A93B0B44D4D4A87AA25124AA1240456_13</vt:lpwstr>
  </property>
</Properties>
</file>