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B0" w:rsidRDefault="005B6B3C" w:rsidP="006C1D6C">
      <w:pPr>
        <w:spacing w:beforeLines="50" w:before="156" w:line="560" w:lineRule="exact"/>
        <w:ind w:rightChars="-230" w:right="-483"/>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淄博高新</w:t>
      </w:r>
      <w:r w:rsidR="00B000B0">
        <w:rPr>
          <w:rFonts w:ascii="Times New Roman" w:eastAsia="方正小标宋简体" w:hAnsi="Times New Roman" w:cs="Times New Roman" w:hint="eastAsia"/>
          <w:sz w:val="44"/>
          <w:szCs w:val="44"/>
        </w:rPr>
        <w:t>技术</w:t>
      </w:r>
      <w:r w:rsidR="00B000B0">
        <w:rPr>
          <w:rFonts w:ascii="Times New Roman" w:eastAsia="方正小标宋简体" w:hAnsi="Times New Roman" w:cs="Times New Roman"/>
          <w:sz w:val="44"/>
          <w:szCs w:val="44"/>
        </w:rPr>
        <w:t>产业开发</w:t>
      </w:r>
      <w:r w:rsidR="00B000B0">
        <w:rPr>
          <w:rFonts w:ascii="Times New Roman" w:eastAsia="方正小标宋简体" w:hAnsi="Times New Roman" w:cs="Times New Roman" w:hint="eastAsia"/>
          <w:sz w:val="44"/>
          <w:szCs w:val="44"/>
        </w:rPr>
        <w:t>区管理</w:t>
      </w:r>
      <w:r w:rsidR="00B000B0">
        <w:rPr>
          <w:rFonts w:ascii="Times New Roman" w:eastAsia="方正小标宋简体" w:hAnsi="Times New Roman" w:cs="Times New Roman"/>
          <w:sz w:val="44"/>
          <w:szCs w:val="44"/>
        </w:rPr>
        <w:t>委员会</w:t>
      </w:r>
    </w:p>
    <w:p w:rsidR="004B707A" w:rsidRDefault="005B6B3C" w:rsidP="006C1D6C">
      <w:pPr>
        <w:spacing w:line="560" w:lineRule="exact"/>
        <w:ind w:rightChars="-230" w:right="-483"/>
        <w:jc w:val="center"/>
        <w:rPr>
          <w:rFonts w:ascii="Times New Roman" w:eastAsia="方正小标宋简体" w:hAnsi="Times New Roman" w:cs="Times New Roman"/>
          <w:snapToGrid w:val="0"/>
          <w:kern w:val="0"/>
          <w:sz w:val="44"/>
          <w:szCs w:val="44"/>
        </w:rPr>
      </w:pPr>
      <w:r>
        <w:rPr>
          <w:rFonts w:ascii="Times New Roman" w:eastAsia="方正小标宋简体" w:hAnsi="Times New Roman" w:cs="Times New Roman"/>
          <w:snapToGrid w:val="0"/>
          <w:kern w:val="0"/>
          <w:sz w:val="44"/>
          <w:szCs w:val="44"/>
        </w:rPr>
        <w:t>关于</w:t>
      </w:r>
      <w:r w:rsidR="00B000B0" w:rsidRPr="00B000B0">
        <w:rPr>
          <w:rFonts w:ascii="Times New Roman" w:eastAsia="方正小标宋简体" w:hAnsi="Times New Roman" w:cs="Times New Roman" w:hint="eastAsia"/>
          <w:snapToGrid w:val="0"/>
          <w:kern w:val="0"/>
          <w:sz w:val="44"/>
          <w:szCs w:val="44"/>
        </w:rPr>
        <w:t>调整一批行政权力事项的通知</w:t>
      </w:r>
    </w:p>
    <w:p w:rsidR="00B000B0" w:rsidRPr="004F3E68" w:rsidRDefault="004F3E68" w:rsidP="004F3E68">
      <w:pPr>
        <w:spacing w:beforeLines="100" w:before="312" w:line="560" w:lineRule="exact"/>
        <w:jc w:val="left"/>
        <w:rPr>
          <w:rFonts w:ascii="仿宋_GB2312" w:eastAsia="仿宋_GB2312" w:hAnsi="Times New Roman" w:cs="Times New Roman"/>
          <w:snapToGrid w:val="0"/>
          <w:spacing w:val="12"/>
          <w:kern w:val="0"/>
          <w:sz w:val="36"/>
          <w:szCs w:val="36"/>
        </w:rPr>
      </w:pPr>
      <w:r w:rsidRPr="004F3E68">
        <w:rPr>
          <w:rFonts w:ascii="仿宋_GB2312" w:eastAsia="仿宋_GB2312" w:hAnsi="Times New Roman" w:cs="Times New Roman"/>
          <w:snapToGrid w:val="0"/>
          <w:spacing w:val="12"/>
          <w:kern w:val="0"/>
          <w:sz w:val="36"/>
          <w:szCs w:val="36"/>
        </w:rPr>
        <w:t>各部、局</w:t>
      </w:r>
      <w:r w:rsidRPr="004F3E68">
        <w:rPr>
          <w:rFonts w:ascii="仿宋_GB2312" w:eastAsia="仿宋_GB2312" w:hAnsi="Times New Roman" w:cs="Times New Roman" w:hint="eastAsia"/>
          <w:snapToGrid w:val="0"/>
          <w:spacing w:val="12"/>
          <w:kern w:val="0"/>
          <w:sz w:val="36"/>
          <w:szCs w:val="36"/>
        </w:rPr>
        <w:t>、中心</w:t>
      </w:r>
      <w:r w:rsidRPr="004F3E68">
        <w:rPr>
          <w:rFonts w:ascii="仿宋_GB2312" w:eastAsia="仿宋_GB2312" w:hAnsi="Times New Roman" w:cs="Times New Roman"/>
          <w:snapToGrid w:val="0"/>
          <w:spacing w:val="12"/>
          <w:kern w:val="0"/>
          <w:sz w:val="36"/>
          <w:szCs w:val="36"/>
        </w:rPr>
        <w:t>，</w:t>
      </w:r>
      <w:r w:rsidRPr="004F3E68">
        <w:rPr>
          <w:rFonts w:ascii="仿宋_GB2312" w:eastAsia="仿宋_GB2312" w:hAnsi="Times New Roman" w:cs="Times New Roman" w:hint="eastAsia"/>
          <w:snapToGrid w:val="0"/>
          <w:spacing w:val="12"/>
          <w:kern w:val="0"/>
          <w:sz w:val="36"/>
          <w:szCs w:val="36"/>
        </w:rPr>
        <w:t>四宝山街道、中埠镇</w:t>
      </w:r>
      <w:r w:rsidRPr="004F3E68">
        <w:rPr>
          <w:rFonts w:ascii="仿宋_GB2312" w:eastAsia="仿宋_GB2312" w:hAnsi="Times New Roman" w:cs="Times New Roman"/>
          <w:snapToGrid w:val="0"/>
          <w:spacing w:val="12"/>
          <w:kern w:val="0"/>
          <w:sz w:val="36"/>
          <w:szCs w:val="36"/>
        </w:rPr>
        <w:t>，市驻区各部门、单位，</w:t>
      </w:r>
      <w:r w:rsidRPr="004F3E68">
        <w:rPr>
          <w:rFonts w:ascii="仿宋_GB2312" w:eastAsia="仿宋_GB2312" w:hAnsi="Times New Roman" w:cs="Times New Roman" w:hint="eastAsia"/>
          <w:snapToGrid w:val="0"/>
          <w:spacing w:val="12"/>
          <w:kern w:val="0"/>
          <w:sz w:val="36"/>
          <w:szCs w:val="36"/>
        </w:rPr>
        <w:t>各直属企</w:t>
      </w:r>
      <w:r w:rsidRPr="004F3E68">
        <w:rPr>
          <w:rFonts w:ascii="仿宋_GB2312" w:eastAsia="仿宋_GB2312" w:hAnsi="Times New Roman" w:cs="Times New Roman"/>
          <w:snapToGrid w:val="0"/>
          <w:spacing w:val="12"/>
          <w:kern w:val="0"/>
          <w:sz w:val="36"/>
          <w:szCs w:val="36"/>
        </w:rPr>
        <w:t>事</w:t>
      </w:r>
      <w:r w:rsidRPr="004F3E68">
        <w:rPr>
          <w:rFonts w:ascii="仿宋_GB2312" w:eastAsia="仿宋_GB2312" w:hAnsi="Times New Roman" w:cs="Times New Roman" w:hint="eastAsia"/>
          <w:snapToGrid w:val="0"/>
          <w:spacing w:val="12"/>
          <w:kern w:val="0"/>
          <w:sz w:val="36"/>
          <w:szCs w:val="36"/>
        </w:rPr>
        <w:t>业</w:t>
      </w:r>
      <w:r w:rsidRPr="004F3E68">
        <w:rPr>
          <w:rFonts w:ascii="仿宋_GB2312" w:eastAsia="仿宋_GB2312" w:hAnsi="Times New Roman" w:cs="Times New Roman"/>
          <w:snapToGrid w:val="0"/>
          <w:spacing w:val="12"/>
          <w:kern w:val="0"/>
          <w:sz w:val="36"/>
          <w:szCs w:val="36"/>
        </w:rPr>
        <w:t>单位</w:t>
      </w:r>
      <w:r w:rsidRPr="004F3E68">
        <w:rPr>
          <w:rFonts w:ascii="仿宋_GB2312" w:eastAsia="仿宋_GB2312" w:hAnsi="Times New Roman" w:cs="Times New Roman" w:hint="eastAsia"/>
          <w:snapToGrid w:val="0"/>
          <w:spacing w:val="12"/>
          <w:kern w:val="0"/>
          <w:sz w:val="36"/>
          <w:szCs w:val="36"/>
        </w:rPr>
        <w:t>，</w:t>
      </w:r>
      <w:r w:rsidRPr="004F3E68">
        <w:rPr>
          <w:rFonts w:ascii="仿宋_GB2312" w:eastAsia="仿宋_GB2312" w:hAnsi="Times New Roman" w:cs="Times New Roman"/>
          <w:snapToGrid w:val="0"/>
          <w:spacing w:val="12"/>
          <w:kern w:val="0"/>
          <w:sz w:val="36"/>
          <w:szCs w:val="36"/>
        </w:rPr>
        <w:t>各有关单位</w:t>
      </w:r>
      <w:r w:rsidRPr="004F3E68">
        <w:rPr>
          <w:rFonts w:ascii="仿宋_GB2312" w:eastAsia="仿宋_GB2312" w:hAnsi="Times New Roman" w:cs="Times New Roman" w:hint="eastAsia"/>
          <w:snapToGrid w:val="0"/>
          <w:spacing w:val="12"/>
          <w:kern w:val="0"/>
          <w:sz w:val="36"/>
          <w:szCs w:val="36"/>
        </w:rPr>
        <w:t>：</w:t>
      </w:r>
    </w:p>
    <w:p w:rsidR="00B000B0" w:rsidRPr="003B0D0D" w:rsidRDefault="00B000B0" w:rsidP="00B000B0">
      <w:pPr>
        <w:pStyle w:val="A40"/>
        <w:spacing w:line="560" w:lineRule="exact"/>
        <w:ind w:firstLineChars="200" w:firstLine="768"/>
        <w:rPr>
          <w:rFonts w:ascii="仿宋_GB2312"/>
          <w:sz w:val="36"/>
          <w:szCs w:val="36"/>
        </w:rPr>
      </w:pPr>
      <w:r w:rsidRPr="003B0D0D">
        <w:rPr>
          <w:rFonts w:ascii="仿宋_GB2312" w:hint="eastAsia"/>
          <w:sz w:val="36"/>
          <w:szCs w:val="36"/>
        </w:rPr>
        <w:t>为贯彻落实国务院《关于取消和下放一批行政许可事项的决定》（国发〔2020〕13号）、《山东省人民政府关于调整一批行政权力事项的通知》（鲁政发〔2021〕1号）和《淄博市人民政府关于调整一批行政权力事项的通知》</w:t>
      </w:r>
      <w:r w:rsidR="00A06621" w:rsidRPr="003B0D0D">
        <w:rPr>
          <w:rFonts w:ascii="仿宋_GB2312" w:hint="eastAsia"/>
          <w:sz w:val="36"/>
          <w:szCs w:val="36"/>
        </w:rPr>
        <w:t>（淄政发〔2021〕6号）</w:t>
      </w:r>
      <w:r w:rsidRPr="003B0D0D">
        <w:rPr>
          <w:rFonts w:ascii="仿宋_GB2312" w:hint="eastAsia"/>
          <w:sz w:val="36"/>
          <w:szCs w:val="36"/>
        </w:rPr>
        <w:t>要求，全面减权放权授权、打造精简高效政务生态，结合高新区实际，决定调整取消一批行政权力事项。</w:t>
      </w:r>
    </w:p>
    <w:p w:rsidR="00B000B0" w:rsidRPr="003B0D0D" w:rsidRDefault="00B000B0" w:rsidP="00B000B0">
      <w:pPr>
        <w:pStyle w:val="A40"/>
        <w:spacing w:line="560" w:lineRule="exact"/>
        <w:ind w:firstLineChars="200" w:firstLine="768"/>
        <w:rPr>
          <w:rFonts w:ascii="仿宋_GB2312"/>
          <w:sz w:val="36"/>
          <w:szCs w:val="36"/>
        </w:rPr>
      </w:pPr>
      <w:r w:rsidRPr="003B0D0D">
        <w:rPr>
          <w:rFonts w:ascii="仿宋_GB2312" w:hint="eastAsia"/>
          <w:sz w:val="36"/>
          <w:szCs w:val="36"/>
        </w:rPr>
        <w:t>各有关部门</w:t>
      </w:r>
      <w:r w:rsidR="003B0D0D">
        <w:rPr>
          <w:rFonts w:ascii="仿宋_GB2312" w:hint="eastAsia"/>
          <w:sz w:val="36"/>
          <w:szCs w:val="36"/>
        </w:rPr>
        <w:t>、</w:t>
      </w:r>
      <w:r w:rsidRPr="003B0D0D">
        <w:rPr>
          <w:rFonts w:ascii="仿宋_GB2312" w:hint="eastAsia"/>
          <w:sz w:val="36"/>
          <w:szCs w:val="36"/>
        </w:rPr>
        <w:t>单位要</w:t>
      </w:r>
      <w:r w:rsidR="00871506" w:rsidRPr="003B0D0D">
        <w:rPr>
          <w:rFonts w:ascii="仿宋_GB2312" w:hint="eastAsia"/>
          <w:sz w:val="36"/>
          <w:szCs w:val="36"/>
        </w:rPr>
        <w:t>高度重视，主动加强与上级业务主管部门对接,</w:t>
      </w:r>
      <w:r w:rsidRPr="003B0D0D">
        <w:rPr>
          <w:rFonts w:ascii="仿宋_GB2312" w:hint="eastAsia"/>
          <w:sz w:val="36"/>
          <w:szCs w:val="36"/>
        </w:rPr>
        <w:t>抓紧做好调整行政权力事项的贯彻落实工作，进一步细化改革配套措施，加强和创新事中事后监管，确保放得下、接得住、管得好。有关部门</w:t>
      </w:r>
      <w:r w:rsidR="003B0D0D">
        <w:rPr>
          <w:rFonts w:ascii="仿宋_GB2312" w:hint="eastAsia"/>
          <w:sz w:val="36"/>
          <w:szCs w:val="36"/>
        </w:rPr>
        <w:t>、</w:t>
      </w:r>
      <w:r w:rsidRPr="003B0D0D">
        <w:rPr>
          <w:rFonts w:ascii="仿宋_GB2312" w:hint="eastAsia"/>
          <w:sz w:val="36"/>
          <w:szCs w:val="36"/>
        </w:rPr>
        <w:t>单位要在文件印发之日起30个工作日内，根据上级业务主管部门制定的事中事后监管细则，对其中的行政许可事项和其他依申请行政权力事项逐项制定符合自身实际的事中事后监管细则，切实做好落实工作。</w:t>
      </w:r>
    </w:p>
    <w:p w:rsidR="00B000B0" w:rsidRPr="003B0D0D" w:rsidRDefault="00B000B0" w:rsidP="00B000B0">
      <w:pPr>
        <w:pStyle w:val="A40"/>
        <w:spacing w:line="560" w:lineRule="exact"/>
        <w:ind w:firstLineChars="200" w:firstLine="768"/>
        <w:rPr>
          <w:rFonts w:ascii="仿宋_GB2312"/>
          <w:sz w:val="36"/>
          <w:szCs w:val="36"/>
        </w:rPr>
      </w:pPr>
      <w:r w:rsidRPr="003B0D0D">
        <w:rPr>
          <w:rFonts w:ascii="仿宋_GB2312" w:hint="eastAsia"/>
          <w:sz w:val="36"/>
          <w:szCs w:val="36"/>
        </w:rPr>
        <w:t>各有关部门</w:t>
      </w:r>
      <w:r w:rsidR="003B0D0D">
        <w:rPr>
          <w:rFonts w:ascii="仿宋_GB2312" w:hint="eastAsia"/>
          <w:sz w:val="36"/>
          <w:szCs w:val="36"/>
        </w:rPr>
        <w:t>、</w:t>
      </w:r>
      <w:r w:rsidRPr="003B0D0D">
        <w:rPr>
          <w:rFonts w:ascii="仿宋_GB2312" w:hint="eastAsia"/>
          <w:sz w:val="36"/>
          <w:szCs w:val="36"/>
        </w:rPr>
        <w:t>单位将贯彻落实情况于3月2</w:t>
      </w:r>
      <w:r w:rsidR="00A30B3A">
        <w:rPr>
          <w:rFonts w:ascii="仿宋_GB2312"/>
          <w:sz w:val="36"/>
          <w:szCs w:val="36"/>
        </w:rPr>
        <w:t>3</w:t>
      </w:r>
      <w:r w:rsidRPr="003B0D0D">
        <w:rPr>
          <w:rFonts w:ascii="仿宋_GB2312" w:hint="eastAsia"/>
          <w:sz w:val="36"/>
          <w:szCs w:val="36"/>
        </w:rPr>
        <w:t>日前报</w:t>
      </w:r>
      <w:r w:rsidR="003940B1">
        <w:rPr>
          <w:rFonts w:ascii="仿宋_GB2312" w:hint="eastAsia"/>
          <w:sz w:val="36"/>
          <w:szCs w:val="36"/>
        </w:rPr>
        <w:t>工委</w:t>
      </w:r>
      <w:r w:rsidRPr="003B0D0D">
        <w:rPr>
          <w:rFonts w:ascii="仿宋_GB2312" w:hint="eastAsia"/>
          <w:sz w:val="36"/>
          <w:szCs w:val="36"/>
        </w:rPr>
        <w:t>管委会办公室改革办（职能转变推进科）。</w:t>
      </w:r>
    </w:p>
    <w:p w:rsidR="003B0D0D" w:rsidRDefault="00A06621" w:rsidP="003B0D0D">
      <w:pPr>
        <w:spacing w:line="560" w:lineRule="exact"/>
        <w:ind w:firstLineChars="200" w:firstLine="720"/>
        <w:rPr>
          <w:rFonts w:ascii="仿宋_GB2312" w:eastAsia="仿宋_GB2312"/>
          <w:sz w:val="36"/>
          <w:szCs w:val="36"/>
        </w:rPr>
      </w:pPr>
      <w:r w:rsidRPr="003B0D0D">
        <w:rPr>
          <w:rFonts w:ascii="仿宋_GB2312" w:eastAsia="仿宋_GB2312" w:hint="eastAsia"/>
          <w:sz w:val="36"/>
          <w:szCs w:val="36"/>
        </w:rPr>
        <w:lastRenderedPageBreak/>
        <w:t>联系人:高颖、常晓月,电话:3591136</w:t>
      </w:r>
    </w:p>
    <w:p w:rsidR="00B000B0" w:rsidRPr="003B0D0D" w:rsidRDefault="00A06621" w:rsidP="003B0D0D">
      <w:pPr>
        <w:spacing w:line="560" w:lineRule="exact"/>
        <w:ind w:firstLineChars="200" w:firstLine="720"/>
        <w:rPr>
          <w:rFonts w:ascii="仿宋_GB2312" w:eastAsia="仿宋_GB2312"/>
          <w:sz w:val="36"/>
          <w:szCs w:val="36"/>
        </w:rPr>
      </w:pPr>
      <w:r w:rsidRPr="003B0D0D">
        <w:rPr>
          <w:rFonts w:ascii="仿宋_GB2312" w:eastAsia="仿宋_GB2312" w:hint="eastAsia"/>
          <w:sz w:val="36"/>
          <w:szCs w:val="36"/>
        </w:rPr>
        <w:t>政务邮箱:</w:t>
      </w:r>
      <w:r w:rsidRPr="003B0D0D">
        <w:rPr>
          <w:rStyle w:val="a9"/>
          <w:rFonts w:ascii="仿宋_GB2312" w:eastAsia="仿宋_GB2312" w:hint="eastAsia"/>
          <w:color w:val="auto"/>
          <w:sz w:val="36"/>
          <w:szCs w:val="36"/>
          <w:u w:val="none"/>
        </w:rPr>
        <w:t xml:space="preserve"> </w:t>
      </w:r>
      <w:hyperlink r:id="rId8" w:history="1">
        <w:r w:rsidRPr="003B0D0D">
          <w:rPr>
            <w:rStyle w:val="a9"/>
            <w:rFonts w:ascii="仿宋_GB2312" w:eastAsia="仿宋_GB2312" w:hint="eastAsia"/>
            <w:color w:val="auto"/>
            <w:sz w:val="36"/>
            <w:szCs w:val="36"/>
            <w:u w:val="none"/>
          </w:rPr>
          <w:t>zbgxqbgsggb@zb.shandong.cn</w:t>
        </w:r>
      </w:hyperlink>
    </w:p>
    <w:p w:rsidR="00A06621" w:rsidRPr="003B0D0D" w:rsidRDefault="00A06621" w:rsidP="00585064">
      <w:pPr>
        <w:spacing w:line="560" w:lineRule="exact"/>
        <w:ind w:firstLineChars="200" w:firstLine="768"/>
        <w:rPr>
          <w:rFonts w:ascii="仿宋_GB2312" w:eastAsia="仿宋_GB2312" w:hAnsi="Times New Roman" w:cs="Times New Roman"/>
          <w:snapToGrid w:val="0"/>
          <w:spacing w:val="12"/>
          <w:kern w:val="0"/>
          <w:sz w:val="36"/>
          <w:szCs w:val="36"/>
        </w:rPr>
      </w:pPr>
    </w:p>
    <w:p w:rsidR="00B000B0" w:rsidRPr="003B0D0D" w:rsidRDefault="00B000B0" w:rsidP="003B0D0D">
      <w:pPr>
        <w:spacing w:line="560" w:lineRule="exact"/>
        <w:ind w:leftChars="336" w:left="1697" w:hangingChars="258" w:hanging="991"/>
        <w:rPr>
          <w:rFonts w:ascii="仿宋_GB2312" w:eastAsia="仿宋_GB2312"/>
          <w:sz w:val="36"/>
          <w:szCs w:val="36"/>
        </w:rPr>
      </w:pPr>
      <w:r w:rsidRPr="003B0D0D">
        <w:rPr>
          <w:rFonts w:ascii="仿宋_GB2312" w:eastAsia="仿宋_GB2312" w:hAnsi="Times New Roman" w:cs="Times New Roman" w:hint="eastAsia"/>
          <w:snapToGrid w:val="0"/>
          <w:spacing w:val="12"/>
          <w:kern w:val="0"/>
          <w:sz w:val="36"/>
          <w:szCs w:val="36"/>
        </w:rPr>
        <w:t>附件：</w:t>
      </w:r>
      <w:r w:rsidR="00BF6AE5" w:rsidRPr="003B0D0D">
        <w:rPr>
          <w:rFonts w:ascii="仿宋_GB2312" w:eastAsia="仿宋_GB2312" w:hAnsi="Times New Roman" w:cs="Times New Roman" w:hint="eastAsia"/>
          <w:snapToGrid w:val="0"/>
          <w:spacing w:val="12"/>
          <w:kern w:val="0"/>
          <w:sz w:val="36"/>
          <w:szCs w:val="36"/>
        </w:rPr>
        <w:t>高新区</w:t>
      </w:r>
      <w:r w:rsidRPr="003B0D0D">
        <w:rPr>
          <w:rFonts w:ascii="仿宋_GB2312" w:eastAsia="仿宋_GB2312" w:hAnsi="Times New Roman" w:cs="Times New Roman" w:hint="eastAsia"/>
          <w:snapToGrid w:val="0"/>
          <w:kern w:val="0"/>
          <w:sz w:val="36"/>
          <w:szCs w:val="36"/>
        </w:rPr>
        <w:t>衔接国务院、省政府</w:t>
      </w:r>
      <w:r w:rsidR="00585064" w:rsidRPr="003B0D0D">
        <w:rPr>
          <w:rFonts w:ascii="仿宋_GB2312" w:eastAsia="仿宋_GB2312" w:hAnsi="Times New Roman" w:cs="Times New Roman" w:hint="eastAsia"/>
          <w:snapToGrid w:val="0"/>
          <w:kern w:val="0"/>
          <w:sz w:val="36"/>
          <w:szCs w:val="36"/>
        </w:rPr>
        <w:t>、市政府</w:t>
      </w:r>
      <w:r w:rsidRPr="003B0D0D">
        <w:rPr>
          <w:rFonts w:ascii="仿宋_GB2312" w:eastAsia="仿宋_GB2312" w:hAnsi="Times New Roman" w:cs="Times New Roman" w:hint="eastAsia"/>
          <w:snapToGrid w:val="0"/>
          <w:kern w:val="0"/>
          <w:sz w:val="36"/>
          <w:szCs w:val="36"/>
        </w:rPr>
        <w:t>文件调整的行政权力事项表</w:t>
      </w:r>
    </w:p>
    <w:p w:rsidR="00585064" w:rsidRPr="003B0D0D" w:rsidRDefault="00585064" w:rsidP="00B000B0">
      <w:pPr>
        <w:pStyle w:val="A40"/>
        <w:spacing w:line="560" w:lineRule="exact"/>
        <w:ind w:firstLineChars="200" w:firstLine="720"/>
        <w:rPr>
          <w:rFonts w:ascii="仿宋_GB2312"/>
          <w:spacing w:val="0"/>
          <w:sz w:val="36"/>
          <w:szCs w:val="36"/>
        </w:rPr>
      </w:pPr>
    </w:p>
    <w:p w:rsidR="00585064" w:rsidRPr="003B0D0D" w:rsidRDefault="00585064" w:rsidP="00B000B0">
      <w:pPr>
        <w:pStyle w:val="A40"/>
        <w:spacing w:line="560" w:lineRule="exact"/>
        <w:ind w:firstLineChars="200" w:firstLine="720"/>
        <w:rPr>
          <w:rFonts w:ascii="仿宋_GB2312"/>
          <w:spacing w:val="0"/>
          <w:sz w:val="36"/>
          <w:szCs w:val="36"/>
        </w:rPr>
      </w:pPr>
    </w:p>
    <w:p w:rsidR="00585064" w:rsidRPr="003B0D0D" w:rsidRDefault="00585064" w:rsidP="00B000B0">
      <w:pPr>
        <w:pStyle w:val="A40"/>
        <w:spacing w:line="560" w:lineRule="exact"/>
        <w:ind w:firstLineChars="200" w:firstLine="720"/>
        <w:rPr>
          <w:rFonts w:ascii="仿宋_GB2312"/>
          <w:spacing w:val="0"/>
          <w:sz w:val="36"/>
          <w:szCs w:val="36"/>
        </w:rPr>
      </w:pPr>
    </w:p>
    <w:p w:rsidR="00B000B0" w:rsidRPr="003B0D0D" w:rsidRDefault="00B000B0" w:rsidP="00585064">
      <w:pPr>
        <w:pStyle w:val="A40"/>
        <w:spacing w:line="560" w:lineRule="exact"/>
        <w:ind w:firstLineChars="200" w:firstLine="720"/>
        <w:jc w:val="right"/>
        <w:rPr>
          <w:rFonts w:ascii="仿宋_GB2312"/>
          <w:sz w:val="36"/>
          <w:szCs w:val="36"/>
        </w:rPr>
      </w:pPr>
      <w:r w:rsidRPr="003B0D0D">
        <w:rPr>
          <w:rFonts w:ascii="仿宋_GB2312" w:hint="eastAsia"/>
          <w:spacing w:val="0"/>
          <w:sz w:val="36"/>
          <w:szCs w:val="36"/>
        </w:rPr>
        <w:t xml:space="preserve">      </w:t>
      </w:r>
      <w:r w:rsidRPr="003B0D0D">
        <w:rPr>
          <w:rFonts w:ascii="仿宋_GB2312" w:hint="eastAsia"/>
          <w:sz w:val="36"/>
          <w:szCs w:val="36"/>
        </w:rPr>
        <w:t xml:space="preserve">淄博高新技术产业开发区管理委员会         </w:t>
      </w:r>
    </w:p>
    <w:p w:rsidR="00585064" w:rsidRDefault="00B000B0" w:rsidP="00B000B0">
      <w:pPr>
        <w:pStyle w:val="A40"/>
        <w:spacing w:line="560" w:lineRule="exact"/>
        <w:ind w:right="688" w:firstLineChars="0" w:firstLine="0"/>
        <w:jc w:val="center"/>
        <w:rPr>
          <w:rFonts w:ascii="仿宋_GB2312"/>
          <w:sz w:val="36"/>
          <w:szCs w:val="36"/>
        </w:rPr>
      </w:pPr>
      <w:r w:rsidRPr="003B0D0D">
        <w:rPr>
          <w:rFonts w:ascii="仿宋_GB2312" w:hint="eastAsia"/>
          <w:sz w:val="36"/>
          <w:szCs w:val="36"/>
        </w:rPr>
        <w:t xml:space="preserve">                       2021年</w:t>
      </w:r>
      <w:r w:rsidR="003B0D0D">
        <w:rPr>
          <w:rFonts w:ascii="仿宋_GB2312"/>
          <w:sz w:val="36"/>
          <w:szCs w:val="36"/>
        </w:rPr>
        <w:t>3</w:t>
      </w:r>
      <w:r w:rsidRPr="003B0D0D">
        <w:rPr>
          <w:rFonts w:ascii="仿宋_GB2312" w:hint="eastAsia"/>
          <w:sz w:val="36"/>
          <w:szCs w:val="36"/>
        </w:rPr>
        <w:t>月</w:t>
      </w:r>
      <w:r w:rsidR="00A30B3A">
        <w:rPr>
          <w:rFonts w:ascii="仿宋_GB2312"/>
          <w:sz w:val="36"/>
          <w:szCs w:val="36"/>
        </w:rPr>
        <w:t>15</w:t>
      </w:r>
      <w:bookmarkStart w:id="0" w:name="_GoBack"/>
      <w:bookmarkEnd w:id="0"/>
      <w:r w:rsidRPr="003B0D0D">
        <w:rPr>
          <w:rFonts w:ascii="仿宋_GB2312" w:hint="eastAsia"/>
          <w:sz w:val="36"/>
          <w:szCs w:val="36"/>
        </w:rPr>
        <w:t>日</w:t>
      </w:r>
    </w:p>
    <w:p w:rsidR="003B0D0D" w:rsidRPr="003B0D0D" w:rsidRDefault="003B0D0D" w:rsidP="003B0D0D">
      <w:pPr>
        <w:pStyle w:val="A40"/>
        <w:spacing w:line="560" w:lineRule="exact"/>
        <w:ind w:right="686" w:firstLineChars="200" w:firstLine="768"/>
        <w:jc w:val="left"/>
        <w:rPr>
          <w:rFonts w:ascii="仿宋_GB2312"/>
          <w:sz w:val="36"/>
          <w:szCs w:val="36"/>
        </w:rPr>
      </w:pPr>
      <w:r>
        <w:rPr>
          <w:rFonts w:ascii="仿宋_GB2312" w:hint="eastAsia"/>
          <w:sz w:val="36"/>
          <w:szCs w:val="36"/>
        </w:rPr>
        <w:t>（此件</w:t>
      </w:r>
      <w:r>
        <w:rPr>
          <w:rFonts w:ascii="仿宋_GB2312"/>
          <w:sz w:val="36"/>
          <w:szCs w:val="36"/>
        </w:rPr>
        <w:t>公开发布</w:t>
      </w:r>
      <w:r>
        <w:rPr>
          <w:rFonts w:ascii="仿宋_GB2312" w:hint="eastAsia"/>
          <w:sz w:val="36"/>
          <w:szCs w:val="36"/>
        </w:rPr>
        <w:t>）</w:t>
      </w:r>
    </w:p>
    <w:p w:rsidR="003B0D0D" w:rsidRPr="003B0D0D" w:rsidRDefault="00585064" w:rsidP="003B0D0D">
      <w:pPr>
        <w:pStyle w:val="2"/>
        <w:rPr>
          <w:rFonts w:ascii="仿宋_GB2312" w:hAnsi="Times New Roman" w:cs="Times New Roman"/>
          <w:snapToGrid w:val="0"/>
          <w:spacing w:val="12"/>
          <w:kern w:val="0"/>
          <w:sz w:val="36"/>
          <w:szCs w:val="36"/>
        </w:rPr>
        <w:sectPr w:rsidR="003B0D0D" w:rsidRPr="003B0D0D">
          <w:footerReference w:type="default" r:id="rId9"/>
          <w:pgSz w:w="11906" w:h="16838"/>
          <w:pgMar w:top="2154" w:right="1474" w:bottom="1701" w:left="1587" w:header="851" w:footer="1417" w:gutter="0"/>
          <w:pgNumType w:fmt="numberInDash"/>
          <w:cols w:space="0"/>
          <w:docGrid w:type="lines" w:linePitch="312"/>
        </w:sectPr>
      </w:pPr>
      <w:r w:rsidRPr="003B0D0D">
        <w:rPr>
          <w:rFonts w:ascii="仿宋_GB2312" w:hint="eastAsia"/>
          <w:sz w:val="36"/>
          <w:szCs w:val="36"/>
        </w:rPr>
        <w:br w:type="page"/>
      </w:r>
    </w:p>
    <w:p w:rsidR="00585064" w:rsidRDefault="00585064" w:rsidP="00585064">
      <w:pPr>
        <w:pStyle w:val="A40"/>
        <w:spacing w:line="600" w:lineRule="exact"/>
        <w:ind w:firstLineChars="0" w:firstLine="0"/>
        <w:rPr>
          <w:rFonts w:ascii="黑体" w:eastAsia="黑体" w:hAnsi="黑体" w:cs="黑体"/>
        </w:rPr>
      </w:pPr>
      <w:r>
        <w:rPr>
          <w:rFonts w:ascii="黑体" w:eastAsia="黑体" w:hAnsi="黑体" w:cs="黑体" w:hint="eastAsia"/>
        </w:rPr>
        <w:lastRenderedPageBreak/>
        <w:t>附件</w:t>
      </w:r>
    </w:p>
    <w:p w:rsidR="00585064" w:rsidRDefault="00BF6AE5" w:rsidP="00585064">
      <w:pPr>
        <w:pStyle w:val="A40"/>
        <w:spacing w:line="60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高新区</w:t>
      </w:r>
      <w:r w:rsidR="00585064">
        <w:rPr>
          <w:rFonts w:ascii="方正小标宋简体" w:eastAsia="方正小标宋简体" w:hAnsi="方正小标宋简体" w:cs="方正小标宋简体" w:hint="eastAsia"/>
          <w:sz w:val="36"/>
          <w:szCs w:val="36"/>
        </w:rPr>
        <w:t>衔接国务院、省政府</w:t>
      </w:r>
      <w:r w:rsidR="0020610E">
        <w:rPr>
          <w:rFonts w:ascii="方正小标宋简体" w:eastAsia="方正小标宋简体" w:hAnsi="方正小标宋简体" w:cs="方正小标宋简体" w:hint="eastAsia"/>
          <w:sz w:val="36"/>
          <w:szCs w:val="36"/>
        </w:rPr>
        <w:t>、</w:t>
      </w:r>
      <w:r w:rsidR="0020610E">
        <w:rPr>
          <w:rFonts w:ascii="方正小标宋简体" w:eastAsia="方正小标宋简体" w:hAnsi="方正小标宋简体" w:cs="方正小标宋简体"/>
          <w:sz w:val="36"/>
          <w:szCs w:val="36"/>
        </w:rPr>
        <w:t>市政府</w:t>
      </w:r>
      <w:r w:rsidR="00585064">
        <w:rPr>
          <w:rFonts w:ascii="方正小标宋简体" w:eastAsia="方正小标宋简体" w:hAnsi="方正小标宋简体" w:cs="方正小标宋简体" w:hint="eastAsia"/>
          <w:sz w:val="36"/>
          <w:szCs w:val="36"/>
        </w:rPr>
        <w:t>文件调整的行政权力事项表</w:t>
      </w:r>
    </w:p>
    <w:tbl>
      <w:tblPr>
        <w:tblW w:w="14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080"/>
        <w:gridCol w:w="1989"/>
        <w:gridCol w:w="760"/>
        <w:gridCol w:w="2955"/>
        <w:gridCol w:w="6794"/>
      </w:tblGrid>
      <w:tr w:rsidR="00585064" w:rsidTr="00A06621">
        <w:trPr>
          <w:trHeight w:val="830"/>
          <w:jc w:val="center"/>
        </w:trPr>
        <w:tc>
          <w:tcPr>
            <w:tcW w:w="612" w:type="dxa"/>
            <w:vAlign w:val="center"/>
          </w:tcPr>
          <w:p w:rsidR="00585064" w:rsidRPr="00580652" w:rsidRDefault="00585064" w:rsidP="007F497F">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序号</w:t>
            </w:r>
          </w:p>
        </w:tc>
        <w:tc>
          <w:tcPr>
            <w:tcW w:w="1080" w:type="dxa"/>
            <w:vAlign w:val="center"/>
          </w:tcPr>
          <w:p w:rsidR="00585064" w:rsidRPr="00580652" w:rsidRDefault="00585064" w:rsidP="007F497F">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原实施部门</w:t>
            </w:r>
          </w:p>
        </w:tc>
        <w:tc>
          <w:tcPr>
            <w:tcW w:w="1989" w:type="dxa"/>
            <w:vAlign w:val="center"/>
          </w:tcPr>
          <w:p w:rsidR="00585064" w:rsidRPr="00580652" w:rsidRDefault="00585064" w:rsidP="007F497F">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事项名称及权限</w:t>
            </w:r>
          </w:p>
        </w:tc>
        <w:tc>
          <w:tcPr>
            <w:tcW w:w="760" w:type="dxa"/>
            <w:vAlign w:val="center"/>
          </w:tcPr>
          <w:p w:rsidR="00585064" w:rsidRPr="00580652" w:rsidRDefault="00585064" w:rsidP="007F497F">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事项类型</w:t>
            </w:r>
          </w:p>
        </w:tc>
        <w:tc>
          <w:tcPr>
            <w:tcW w:w="2955" w:type="dxa"/>
            <w:vAlign w:val="center"/>
          </w:tcPr>
          <w:p w:rsidR="00585064" w:rsidRPr="00580652" w:rsidRDefault="00585064" w:rsidP="007F497F">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调整意见</w:t>
            </w:r>
          </w:p>
        </w:tc>
        <w:tc>
          <w:tcPr>
            <w:tcW w:w="6794" w:type="dxa"/>
            <w:vAlign w:val="center"/>
          </w:tcPr>
          <w:p w:rsidR="00585064" w:rsidRPr="00580652" w:rsidRDefault="00585064" w:rsidP="007F497F">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加强事中事后监管措施</w:t>
            </w:r>
          </w:p>
        </w:tc>
      </w:tr>
      <w:tr w:rsidR="00585064" w:rsidTr="00A06621">
        <w:trPr>
          <w:trHeight w:val="2780"/>
          <w:jc w:val="center"/>
        </w:trPr>
        <w:tc>
          <w:tcPr>
            <w:tcW w:w="612" w:type="dxa"/>
            <w:vAlign w:val="center"/>
          </w:tcPr>
          <w:p w:rsidR="00585064" w:rsidRDefault="00585064" w:rsidP="007F497F">
            <w:pPr>
              <w:pStyle w:val="A40"/>
              <w:spacing w:line="28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p>
        </w:tc>
        <w:tc>
          <w:tcPr>
            <w:tcW w:w="1080" w:type="dxa"/>
            <w:vAlign w:val="center"/>
          </w:tcPr>
          <w:p w:rsidR="00585064" w:rsidRDefault="00BF6AE5" w:rsidP="00BF6AE5">
            <w:pPr>
              <w:pStyle w:val="A40"/>
              <w:spacing w:line="280" w:lineRule="exact"/>
              <w:ind w:firstLineChars="0" w:firstLine="0"/>
              <w:jc w:val="left"/>
              <w:rPr>
                <w:rFonts w:ascii="宋体" w:eastAsia="宋体" w:hAnsi="宋体" w:cs="宋体"/>
                <w:sz w:val="21"/>
                <w:szCs w:val="21"/>
              </w:rPr>
            </w:pPr>
            <w:r w:rsidRPr="00BF6AE5">
              <w:rPr>
                <w:rFonts w:ascii="宋体" w:eastAsia="宋体" w:hAnsi="宋体" w:cs="宋体"/>
                <w:sz w:val="21"/>
                <w:szCs w:val="21"/>
              </w:rPr>
              <w:t>高新区公安分局</w:t>
            </w:r>
          </w:p>
        </w:tc>
        <w:tc>
          <w:tcPr>
            <w:tcW w:w="1989" w:type="dxa"/>
            <w:vAlign w:val="center"/>
          </w:tcPr>
          <w:p w:rsidR="00585064" w:rsidRDefault="00585064" w:rsidP="007F497F">
            <w:pPr>
              <w:pStyle w:val="A40"/>
              <w:spacing w:line="280" w:lineRule="exact"/>
              <w:ind w:firstLineChars="0" w:firstLine="0"/>
              <w:rPr>
                <w:rFonts w:ascii="宋体" w:eastAsia="宋体" w:hAnsi="宋体" w:cs="宋体"/>
                <w:sz w:val="21"/>
                <w:szCs w:val="21"/>
              </w:rPr>
            </w:pPr>
            <w:r>
              <w:rPr>
                <w:rFonts w:ascii="宋体" w:eastAsia="宋体" w:hAnsi="宋体" w:cs="宋体" w:hint="eastAsia"/>
                <w:sz w:val="21"/>
                <w:szCs w:val="21"/>
              </w:rPr>
              <w:t>典当业特种行业许可证核发</w:t>
            </w:r>
          </w:p>
        </w:tc>
        <w:tc>
          <w:tcPr>
            <w:tcW w:w="760" w:type="dxa"/>
            <w:vAlign w:val="center"/>
          </w:tcPr>
          <w:p w:rsidR="00585064" w:rsidRDefault="00585064" w:rsidP="007F497F">
            <w:pPr>
              <w:pStyle w:val="A40"/>
              <w:spacing w:line="280" w:lineRule="exact"/>
              <w:ind w:firstLineChars="0" w:firstLine="0"/>
              <w:jc w:val="center"/>
              <w:rPr>
                <w:rFonts w:ascii="宋体" w:eastAsia="宋体" w:hAnsi="宋体" w:cs="宋体"/>
                <w:sz w:val="21"/>
                <w:szCs w:val="21"/>
              </w:rPr>
            </w:pPr>
            <w:r>
              <w:rPr>
                <w:rFonts w:ascii="宋体" w:eastAsia="宋体" w:hAnsi="宋体" w:cs="宋体" w:hint="eastAsia"/>
                <w:sz w:val="21"/>
                <w:szCs w:val="21"/>
              </w:rPr>
              <w:t>行政许可</w:t>
            </w:r>
          </w:p>
        </w:tc>
        <w:tc>
          <w:tcPr>
            <w:tcW w:w="2955" w:type="dxa"/>
            <w:vAlign w:val="center"/>
          </w:tcPr>
          <w:p w:rsidR="00585064" w:rsidRDefault="00585064" w:rsidP="00755D1E">
            <w:pPr>
              <w:pStyle w:val="A40"/>
              <w:spacing w:line="280" w:lineRule="exact"/>
              <w:ind w:firstLineChars="0" w:firstLine="0"/>
              <w:rPr>
                <w:rFonts w:ascii="宋体" w:eastAsia="宋体" w:hAnsi="宋体" w:cs="宋体"/>
                <w:sz w:val="21"/>
                <w:szCs w:val="21"/>
              </w:rPr>
            </w:pPr>
            <w:r>
              <w:rPr>
                <w:rFonts w:ascii="宋体" w:eastAsia="宋体" w:hAnsi="宋体" w:cs="宋体" w:hint="eastAsia"/>
                <w:sz w:val="21"/>
                <w:szCs w:val="21"/>
              </w:rPr>
              <w:t>取消</w:t>
            </w:r>
            <w:r w:rsidR="00755D1E">
              <w:rPr>
                <w:rFonts w:ascii="宋体" w:eastAsia="宋体" w:hAnsi="宋体" w:cs="宋体" w:hint="eastAsia"/>
                <w:sz w:val="21"/>
                <w:szCs w:val="21"/>
              </w:rPr>
              <w:t>高新区</w:t>
            </w:r>
            <w:r>
              <w:rPr>
                <w:rFonts w:ascii="宋体" w:eastAsia="宋体" w:hAnsi="宋体" w:cs="宋体" w:hint="eastAsia"/>
                <w:sz w:val="21"/>
                <w:szCs w:val="21"/>
              </w:rPr>
              <w:t>公安部门实施的行政许可事项“典当业特种行业许可证核发”，改由省级地方金融监管部门实施。</w:t>
            </w:r>
          </w:p>
        </w:tc>
        <w:tc>
          <w:tcPr>
            <w:tcW w:w="6794" w:type="dxa"/>
            <w:vAlign w:val="center"/>
          </w:tcPr>
          <w:p w:rsidR="00585064" w:rsidRDefault="00585064" w:rsidP="007F497F">
            <w:pPr>
              <w:pStyle w:val="A40"/>
              <w:spacing w:line="280" w:lineRule="exact"/>
              <w:ind w:firstLineChars="0" w:firstLine="0"/>
              <w:rPr>
                <w:rFonts w:ascii="宋体" w:eastAsia="宋体" w:hAnsi="宋体" w:cs="宋体"/>
                <w:sz w:val="21"/>
                <w:szCs w:val="21"/>
              </w:rPr>
            </w:pPr>
            <w:r>
              <w:rPr>
                <w:rFonts w:ascii="宋体" w:eastAsia="宋体" w:hAnsi="宋体" w:cs="宋体" w:hint="eastAsia"/>
                <w:sz w:val="21"/>
                <w:szCs w:val="21"/>
              </w:rPr>
              <w:t>取消许可后，公安机关和地方金融监管部门要通过以下措施加强监管：</w:t>
            </w:r>
          </w:p>
          <w:p w:rsidR="00585064" w:rsidRDefault="00585064" w:rsidP="007F497F">
            <w:pPr>
              <w:pStyle w:val="A40"/>
              <w:spacing w:line="280" w:lineRule="exact"/>
              <w:ind w:firstLineChars="0" w:firstLine="0"/>
              <w:rPr>
                <w:rFonts w:ascii="宋体" w:eastAsia="宋体" w:hAnsi="宋体" w:cs="宋体"/>
                <w:sz w:val="21"/>
                <w:szCs w:val="21"/>
              </w:rPr>
            </w:pPr>
            <w:r>
              <w:rPr>
                <w:rFonts w:ascii="宋体" w:eastAsia="宋体" w:hAnsi="宋体" w:cs="宋体" w:hint="eastAsia"/>
                <w:sz w:val="21"/>
                <w:szCs w:val="21"/>
              </w:rPr>
              <w:t>1.地方金融监管部门应当将办理“设立典当行及分支机构审批”（含设立、变更、注销）的相关信息作出审批决定后5个工作日内推送至公安机关，公安机关据此将典当行及分支机构纳入监管范围、依法实施监管。</w:t>
            </w:r>
          </w:p>
          <w:p w:rsidR="00585064" w:rsidRDefault="00585064" w:rsidP="007F497F">
            <w:pPr>
              <w:pStyle w:val="A40"/>
              <w:spacing w:line="280" w:lineRule="exact"/>
              <w:ind w:firstLineChars="0" w:firstLine="0"/>
              <w:rPr>
                <w:rFonts w:ascii="宋体" w:eastAsia="宋体" w:hAnsi="宋体" w:cs="宋体"/>
                <w:sz w:val="21"/>
                <w:szCs w:val="21"/>
              </w:rPr>
            </w:pPr>
            <w:r>
              <w:rPr>
                <w:rFonts w:ascii="宋体" w:eastAsia="宋体" w:hAnsi="宋体" w:cs="宋体" w:hint="eastAsia"/>
                <w:sz w:val="21"/>
                <w:szCs w:val="21"/>
              </w:rPr>
              <w:t>2.通过“双随机、一公开”监管等方式，加强对典当行的治安管理，及时化解风险隐患，发现违法犯罪活动要依法查处。</w:t>
            </w:r>
          </w:p>
        </w:tc>
      </w:tr>
      <w:tr w:rsidR="00585064" w:rsidTr="00A06621">
        <w:trPr>
          <w:jc w:val="center"/>
        </w:trPr>
        <w:tc>
          <w:tcPr>
            <w:tcW w:w="612" w:type="dxa"/>
            <w:vAlign w:val="center"/>
          </w:tcPr>
          <w:p w:rsidR="00585064" w:rsidRDefault="00173597" w:rsidP="007F497F">
            <w:pPr>
              <w:pStyle w:val="A40"/>
              <w:spacing w:line="280" w:lineRule="exact"/>
              <w:ind w:firstLineChars="0" w:firstLine="0"/>
              <w:jc w:val="center"/>
              <w:rPr>
                <w:rFonts w:ascii="宋体" w:eastAsia="宋体" w:hAnsi="宋体" w:cs="宋体"/>
                <w:sz w:val="21"/>
                <w:szCs w:val="21"/>
              </w:rPr>
            </w:pPr>
            <w:r>
              <w:rPr>
                <w:rFonts w:ascii="宋体" w:eastAsia="宋体" w:hAnsi="宋体" w:cs="宋体"/>
                <w:sz w:val="21"/>
                <w:szCs w:val="21"/>
              </w:rPr>
              <w:t>2</w:t>
            </w:r>
          </w:p>
        </w:tc>
        <w:tc>
          <w:tcPr>
            <w:tcW w:w="1080" w:type="dxa"/>
            <w:vAlign w:val="center"/>
          </w:tcPr>
          <w:p w:rsidR="00585064" w:rsidRDefault="00A976A5" w:rsidP="00BF6AE5">
            <w:pPr>
              <w:pStyle w:val="Other1"/>
              <w:spacing w:line="280" w:lineRule="exact"/>
              <w:ind w:firstLine="0"/>
              <w:jc w:val="left"/>
              <w:rPr>
                <w:szCs w:val="21"/>
              </w:rPr>
            </w:pPr>
            <w:r>
              <w:rPr>
                <w:rFonts w:hint="eastAsia"/>
                <w:spacing w:val="12"/>
                <w:sz w:val="21"/>
                <w:szCs w:val="21"/>
                <w:lang w:val="en-US" w:eastAsia="zh-CN" w:bidi="ar-SA"/>
              </w:rPr>
              <w:t>行政审批服务</w:t>
            </w:r>
            <w:r>
              <w:rPr>
                <w:spacing w:val="12"/>
                <w:sz w:val="21"/>
                <w:szCs w:val="21"/>
                <w:lang w:val="en-US" w:eastAsia="zh-CN" w:bidi="ar-SA"/>
              </w:rPr>
              <w:t>局</w:t>
            </w:r>
          </w:p>
        </w:tc>
        <w:tc>
          <w:tcPr>
            <w:tcW w:w="1989" w:type="dxa"/>
            <w:vAlign w:val="center"/>
          </w:tcPr>
          <w:p w:rsidR="00585064" w:rsidRDefault="00585064" w:rsidP="007F497F">
            <w:pPr>
              <w:widowControl/>
              <w:spacing w:line="280" w:lineRule="exact"/>
              <w:rPr>
                <w:rFonts w:ascii="宋体" w:eastAsia="宋体" w:hAnsi="宋体" w:cs="宋体"/>
                <w:szCs w:val="21"/>
              </w:rPr>
            </w:pPr>
            <w:r>
              <w:rPr>
                <w:rFonts w:ascii="宋体" w:eastAsia="宋体" w:hAnsi="宋体" w:cs="宋体" w:hint="eastAsia"/>
                <w:szCs w:val="21"/>
              </w:rPr>
              <w:t>乡村兽医登记</w:t>
            </w:r>
          </w:p>
        </w:tc>
        <w:tc>
          <w:tcPr>
            <w:tcW w:w="760" w:type="dxa"/>
            <w:vAlign w:val="center"/>
          </w:tcPr>
          <w:p w:rsidR="00585064" w:rsidRDefault="00585064" w:rsidP="007F497F">
            <w:pPr>
              <w:widowControl/>
              <w:spacing w:line="280" w:lineRule="exact"/>
              <w:jc w:val="center"/>
              <w:rPr>
                <w:rFonts w:ascii="宋体" w:eastAsia="宋体" w:hAnsi="宋体" w:cs="宋体"/>
                <w:szCs w:val="21"/>
              </w:rPr>
            </w:pPr>
            <w:r>
              <w:rPr>
                <w:rFonts w:ascii="宋体" w:eastAsia="宋体" w:hAnsi="宋体" w:cs="宋体" w:hint="eastAsia"/>
                <w:szCs w:val="21"/>
              </w:rPr>
              <w:t>行政许可</w:t>
            </w:r>
          </w:p>
        </w:tc>
        <w:tc>
          <w:tcPr>
            <w:tcW w:w="2955" w:type="dxa"/>
            <w:vAlign w:val="center"/>
          </w:tcPr>
          <w:p w:rsidR="00585064" w:rsidRDefault="00585064" w:rsidP="00755D1E">
            <w:pPr>
              <w:widowControl/>
              <w:spacing w:line="280" w:lineRule="exact"/>
              <w:jc w:val="left"/>
              <w:rPr>
                <w:rFonts w:ascii="宋体" w:eastAsia="宋体" w:hAnsi="宋体" w:cs="宋体"/>
                <w:szCs w:val="21"/>
              </w:rPr>
            </w:pPr>
            <w:r>
              <w:rPr>
                <w:rFonts w:ascii="宋体" w:eastAsia="宋体" w:hAnsi="宋体" w:cs="宋体" w:hint="eastAsia"/>
                <w:szCs w:val="21"/>
              </w:rPr>
              <w:t>取消</w:t>
            </w:r>
            <w:r w:rsidR="00755D1E">
              <w:rPr>
                <w:rFonts w:ascii="宋体" w:eastAsia="宋体" w:hAnsi="宋体" w:cs="宋体" w:hint="eastAsia"/>
                <w:szCs w:val="21"/>
              </w:rPr>
              <w:t>高新区</w:t>
            </w:r>
            <w:r>
              <w:rPr>
                <w:rFonts w:ascii="宋体" w:eastAsia="宋体" w:hAnsi="宋体" w:cs="宋体" w:hint="eastAsia"/>
                <w:szCs w:val="21"/>
              </w:rPr>
              <w:t>畜牧兽医部门实施的行政许可事项“乡村兽医登记”，改为备案。</w:t>
            </w:r>
          </w:p>
        </w:tc>
        <w:tc>
          <w:tcPr>
            <w:tcW w:w="6794" w:type="dxa"/>
            <w:vAlign w:val="center"/>
          </w:tcPr>
          <w:p w:rsidR="00585064" w:rsidRDefault="00585064" w:rsidP="007F497F">
            <w:pPr>
              <w:spacing w:line="280" w:lineRule="exact"/>
              <w:rPr>
                <w:rFonts w:ascii="宋体" w:eastAsia="宋体" w:hAnsi="宋体" w:cs="宋体"/>
                <w:szCs w:val="21"/>
              </w:rPr>
            </w:pPr>
            <w:r>
              <w:rPr>
                <w:rFonts w:ascii="宋体" w:eastAsia="宋体" w:hAnsi="宋体" w:cs="宋体" w:hint="eastAsia"/>
                <w:szCs w:val="21"/>
              </w:rPr>
              <w:t>取消许可，改为备案后，</w:t>
            </w:r>
            <w:r w:rsidR="00755D1E">
              <w:rPr>
                <w:rFonts w:ascii="宋体" w:eastAsia="宋体" w:hAnsi="宋体" w:cs="宋体" w:hint="eastAsia"/>
                <w:szCs w:val="21"/>
              </w:rPr>
              <w:t>高新区</w:t>
            </w:r>
            <w:r>
              <w:rPr>
                <w:rFonts w:ascii="宋体" w:eastAsia="宋体" w:hAnsi="宋体" w:cs="宋体" w:hint="eastAsia"/>
                <w:szCs w:val="21"/>
              </w:rPr>
              <w:t>畜牧兽医部门要通过以下措施加强事中事后监管：</w:t>
            </w:r>
          </w:p>
          <w:p w:rsidR="00585064" w:rsidRDefault="00585064" w:rsidP="007F497F">
            <w:pPr>
              <w:spacing w:line="280" w:lineRule="exact"/>
              <w:rPr>
                <w:rFonts w:ascii="宋体" w:eastAsia="宋体" w:hAnsi="宋体" w:cs="宋体"/>
                <w:szCs w:val="21"/>
              </w:rPr>
            </w:pPr>
            <w:r>
              <w:rPr>
                <w:rFonts w:ascii="宋体" w:eastAsia="宋体" w:hAnsi="宋体" w:cs="宋体" w:hint="eastAsia"/>
                <w:szCs w:val="21"/>
              </w:rPr>
              <w:t>1.建立健全乡村兽医服务人员备案制度，对不按要求备案的要依法设定并追究法律责任。要向社会公开备案情况，方便查询、就医，并发挥社会监督作用。</w:t>
            </w:r>
          </w:p>
          <w:p w:rsidR="00585064" w:rsidRDefault="00585064" w:rsidP="007F497F">
            <w:pPr>
              <w:spacing w:line="280" w:lineRule="exact"/>
              <w:rPr>
                <w:rFonts w:ascii="宋体" w:eastAsia="宋体" w:hAnsi="宋体" w:cs="宋体"/>
                <w:szCs w:val="21"/>
              </w:rPr>
            </w:pPr>
            <w:r>
              <w:rPr>
                <w:rFonts w:ascii="宋体" w:eastAsia="宋体" w:hAnsi="宋体" w:cs="宋体" w:hint="eastAsia"/>
                <w:szCs w:val="21"/>
              </w:rPr>
              <w:t>2.开展“双随机、一公开”监管，畅通投诉举报渠道，发现违法违规行为要依法查处并向社会公开结果。</w:t>
            </w:r>
          </w:p>
          <w:p w:rsidR="00585064" w:rsidRDefault="00585064" w:rsidP="007F497F">
            <w:pPr>
              <w:spacing w:line="280" w:lineRule="exact"/>
              <w:rPr>
                <w:rFonts w:ascii="宋体" w:eastAsia="宋体" w:hAnsi="宋体" w:cs="宋体"/>
                <w:szCs w:val="21"/>
              </w:rPr>
            </w:pPr>
            <w:r>
              <w:rPr>
                <w:rFonts w:ascii="宋体" w:eastAsia="宋体" w:hAnsi="宋体" w:cs="宋体" w:hint="eastAsia"/>
                <w:szCs w:val="21"/>
              </w:rPr>
              <w:t>3.依法实施信用监管，如实记录违法失信行为，实施差异化监管等措施。</w:t>
            </w:r>
          </w:p>
        </w:tc>
      </w:tr>
      <w:tr w:rsidR="00585064" w:rsidTr="00A06621">
        <w:trPr>
          <w:trHeight w:val="1542"/>
          <w:jc w:val="center"/>
        </w:trPr>
        <w:tc>
          <w:tcPr>
            <w:tcW w:w="612" w:type="dxa"/>
            <w:vAlign w:val="center"/>
          </w:tcPr>
          <w:p w:rsidR="00585064" w:rsidRDefault="00580652" w:rsidP="007F497F">
            <w:pPr>
              <w:pStyle w:val="A40"/>
              <w:spacing w:line="280" w:lineRule="exact"/>
              <w:ind w:firstLineChars="0" w:firstLine="0"/>
              <w:jc w:val="center"/>
              <w:rPr>
                <w:rFonts w:ascii="宋体" w:eastAsia="宋体" w:hAnsi="宋体" w:cs="宋体"/>
                <w:sz w:val="21"/>
                <w:szCs w:val="21"/>
              </w:rPr>
            </w:pPr>
            <w:r>
              <w:rPr>
                <w:rFonts w:ascii="宋体" w:eastAsia="宋体" w:hAnsi="宋体" w:cs="宋体"/>
                <w:sz w:val="21"/>
                <w:szCs w:val="21"/>
              </w:rPr>
              <w:t>3</w:t>
            </w:r>
          </w:p>
        </w:tc>
        <w:tc>
          <w:tcPr>
            <w:tcW w:w="1080" w:type="dxa"/>
            <w:vAlign w:val="center"/>
          </w:tcPr>
          <w:p w:rsidR="00585064" w:rsidRPr="00BF6AE5" w:rsidRDefault="00BF6AE5" w:rsidP="00BF6AE5">
            <w:pPr>
              <w:pStyle w:val="Other1"/>
              <w:spacing w:line="280" w:lineRule="exact"/>
              <w:ind w:firstLine="0"/>
              <w:jc w:val="left"/>
              <w:rPr>
                <w:spacing w:val="12"/>
                <w:sz w:val="21"/>
                <w:szCs w:val="21"/>
                <w:lang w:val="en-US" w:eastAsia="zh-CN" w:bidi="ar-SA"/>
              </w:rPr>
            </w:pPr>
            <w:r w:rsidRPr="00BF6AE5">
              <w:rPr>
                <w:rFonts w:hint="eastAsia"/>
                <w:spacing w:val="12"/>
                <w:sz w:val="21"/>
                <w:szCs w:val="21"/>
                <w:lang w:val="en-US" w:eastAsia="zh-CN" w:bidi="ar-SA"/>
              </w:rPr>
              <w:t>组织人事部</w:t>
            </w:r>
          </w:p>
        </w:tc>
        <w:tc>
          <w:tcPr>
            <w:tcW w:w="1989" w:type="dxa"/>
            <w:vAlign w:val="center"/>
          </w:tcPr>
          <w:p w:rsidR="00585064" w:rsidRDefault="00585064" w:rsidP="007F497F">
            <w:pPr>
              <w:pStyle w:val="Other1"/>
              <w:spacing w:line="280" w:lineRule="exact"/>
              <w:ind w:firstLine="0"/>
              <w:rPr>
                <w:sz w:val="21"/>
                <w:szCs w:val="21"/>
                <w:lang w:val="en-US" w:eastAsia="zh-CN"/>
              </w:rPr>
            </w:pPr>
            <w:r>
              <w:rPr>
                <w:rFonts w:hint="eastAsia"/>
                <w:sz w:val="21"/>
                <w:szCs w:val="21"/>
              </w:rPr>
              <w:t>对民族政策和法律法规执行情况的监督检査</w:t>
            </w:r>
          </w:p>
        </w:tc>
        <w:tc>
          <w:tcPr>
            <w:tcW w:w="760" w:type="dxa"/>
            <w:vAlign w:val="center"/>
          </w:tcPr>
          <w:p w:rsidR="00585064" w:rsidRDefault="00585064" w:rsidP="007F497F">
            <w:pPr>
              <w:pStyle w:val="Other1"/>
              <w:spacing w:line="280" w:lineRule="exact"/>
              <w:ind w:firstLine="0"/>
              <w:jc w:val="center"/>
              <w:rPr>
                <w:sz w:val="21"/>
                <w:szCs w:val="21"/>
                <w:lang w:val="en-US" w:eastAsia="zh-CN"/>
              </w:rPr>
            </w:pPr>
            <w:r>
              <w:rPr>
                <w:rFonts w:hint="eastAsia"/>
                <w:sz w:val="21"/>
                <w:szCs w:val="21"/>
              </w:rPr>
              <w:t>行政检查</w:t>
            </w:r>
          </w:p>
        </w:tc>
        <w:tc>
          <w:tcPr>
            <w:tcW w:w="2955" w:type="dxa"/>
            <w:vAlign w:val="center"/>
          </w:tcPr>
          <w:p w:rsidR="00585064" w:rsidRDefault="00585064" w:rsidP="00757E2D">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vAlign w:val="center"/>
          </w:tcPr>
          <w:p w:rsidR="00585064" w:rsidRDefault="00585064" w:rsidP="007F497F">
            <w:pPr>
              <w:spacing w:line="240" w:lineRule="exact"/>
              <w:rPr>
                <w:rFonts w:ascii="宋体" w:eastAsia="宋体" w:hAnsi="宋体" w:cs="宋体"/>
                <w:szCs w:val="21"/>
              </w:rPr>
            </w:pPr>
          </w:p>
        </w:tc>
      </w:tr>
      <w:tr w:rsidR="002E067B" w:rsidTr="00580652">
        <w:trPr>
          <w:trHeight w:val="833"/>
          <w:jc w:val="center"/>
        </w:trPr>
        <w:tc>
          <w:tcPr>
            <w:tcW w:w="612"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lastRenderedPageBreak/>
              <w:t>序号</w:t>
            </w:r>
          </w:p>
        </w:tc>
        <w:tc>
          <w:tcPr>
            <w:tcW w:w="1080"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原实施部门</w:t>
            </w:r>
          </w:p>
        </w:tc>
        <w:tc>
          <w:tcPr>
            <w:tcW w:w="1989"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事项名称及权限</w:t>
            </w:r>
          </w:p>
        </w:tc>
        <w:tc>
          <w:tcPr>
            <w:tcW w:w="760"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事项类型</w:t>
            </w:r>
          </w:p>
        </w:tc>
        <w:tc>
          <w:tcPr>
            <w:tcW w:w="2955"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调整意见</w:t>
            </w:r>
          </w:p>
        </w:tc>
        <w:tc>
          <w:tcPr>
            <w:tcW w:w="6794"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加强事中事后监管措施</w:t>
            </w:r>
          </w:p>
        </w:tc>
      </w:tr>
      <w:tr w:rsidR="002E067B" w:rsidTr="00A06621">
        <w:trPr>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4</w:t>
            </w:r>
          </w:p>
        </w:tc>
        <w:tc>
          <w:tcPr>
            <w:tcW w:w="1080" w:type="dxa"/>
            <w:vAlign w:val="center"/>
          </w:tcPr>
          <w:p w:rsidR="002E067B" w:rsidRPr="00BF6AE5" w:rsidRDefault="00BF6AE5" w:rsidP="00BF6AE5">
            <w:pPr>
              <w:pStyle w:val="Other1"/>
              <w:spacing w:line="280" w:lineRule="exact"/>
              <w:ind w:firstLine="0"/>
              <w:jc w:val="left"/>
              <w:rPr>
                <w:spacing w:val="12"/>
                <w:sz w:val="21"/>
                <w:szCs w:val="21"/>
                <w:lang w:val="en-US" w:eastAsia="zh-CN" w:bidi="ar-SA"/>
              </w:rPr>
            </w:pPr>
            <w:r w:rsidRPr="00BF6AE5">
              <w:rPr>
                <w:spacing w:val="12"/>
                <w:sz w:val="21"/>
                <w:szCs w:val="21"/>
                <w:lang w:val="en-US" w:eastAsia="zh-CN" w:bidi="ar-SA"/>
              </w:rPr>
              <w:t>高新区自然资源</w:t>
            </w:r>
            <w:r w:rsidR="00755D1E">
              <w:rPr>
                <w:rFonts w:hint="eastAsia"/>
                <w:spacing w:val="12"/>
                <w:sz w:val="21"/>
                <w:szCs w:val="21"/>
                <w:lang w:val="en-US" w:eastAsia="zh-CN" w:bidi="ar-SA"/>
              </w:rPr>
              <w:t>和</w:t>
            </w:r>
            <w:r w:rsidR="00755D1E">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承担应当登记测绘 项目的单位实施测 绘前未向测绘行政 主管部门办理登记 手续的处罚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A06621">
        <w:trPr>
          <w:trHeight w:val="90"/>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5</w:t>
            </w:r>
          </w:p>
        </w:tc>
        <w:tc>
          <w:tcPr>
            <w:tcW w:w="1080" w:type="dxa"/>
            <w:vAlign w:val="center"/>
          </w:tcPr>
          <w:p w:rsidR="002E067B" w:rsidRPr="00BF6AE5" w:rsidRDefault="00755D1E" w:rsidP="00BF6AE5">
            <w:pPr>
              <w:pStyle w:val="Other1"/>
              <w:spacing w:line="280" w:lineRule="exact"/>
              <w:ind w:firstLine="0"/>
              <w:jc w:val="left"/>
              <w:rPr>
                <w:spacing w:val="12"/>
                <w:sz w:val="21"/>
                <w:szCs w:val="21"/>
                <w:lang w:val="en-US" w:eastAsia="zh-CN" w:bidi="ar-SA"/>
              </w:rPr>
            </w:pPr>
            <w:r w:rsidRPr="00BF6AE5">
              <w:rPr>
                <w:spacing w:val="12"/>
                <w:sz w:val="21"/>
                <w:szCs w:val="21"/>
                <w:lang w:val="en-US" w:eastAsia="zh-CN" w:bidi="ar-SA"/>
              </w:rPr>
              <w:t>高新区自然资源</w:t>
            </w:r>
            <w:r>
              <w:rPr>
                <w:rFonts w:hint="eastAsia"/>
                <w:spacing w:val="12"/>
                <w:sz w:val="21"/>
                <w:szCs w:val="21"/>
                <w:lang w:val="en-US" w:eastAsia="zh-CN" w:bidi="ar-SA"/>
              </w:rPr>
              <w:t>和</w:t>
            </w:r>
            <w:r>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未经批准擅自以测 绘为目的进行航空 摄影或者遥感的处 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A06621">
        <w:trPr>
          <w:trHeight w:val="240"/>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6</w:t>
            </w:r>
          </w:p>
        </w:tc>
        <w:tc>
          <w:tcPr>
            <w:tcW w:w="1080" w:type="dxa"/>
            <w:vAlign w:val="center"/>
          </w:tcPr>
          <w:p w:rsidR="002E067B" w:rsidRPr="00BF6AE5" w:rsidRDefault="00755D1E" w:rsidP="00BF6AE5">
            <w:pPr>
              <w:pStyle w:val="Other1"/>
              <w:spacing w:line="280" w:lineRule="exact"/>
              <w:ind w:firstLine="0"/>
              <w:jc w:val="left"/>
              <w:rPr>
                <w:spacing w:val="12"/>
                <w:sz w:val="21"/>
                <w:szCs w:val="21"/>
                <w:lang w:val="en-US" w:eastAsia="zh-CN" w:bidi="ar-SA"/>
              </w:rPr>
            </w:pPr>
            <w:r w:rsidRPr="00BF6AE5">
              <w:rPr>
                <w:spacing w:val="12"/>
                <w:sz w:val="21"/>
                <w:szCs w:val="21"/>
                <w:lang w:val="en-US" w:eastAsia="zh-CN" w:bidi="ar-SA"/>
              </w:rPr>
              <w:t>高新区自然资源</w:t>
            </w:r>
            <w:r>
              <w:rPr>
                <w:rFonts w:hint="eastAsia"/>
                <w:spacing w:val="12"/>
                <w:sz w:val="21"/>
                <w:szCs w:val="21"/>
                <w:lang w:val="en-US" w:eastAsia="zh-CN" w:bidi="ar-SA"/>
              </w:rPr>
              <w:t>和</w:t>
            </w:r>
            <w:r>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未经批准擅自向外 国组织和个人及在 我国注册的外商投 资企业提供测绘成 果的处罚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vAlign w:val="center"/>
          </w:tcPr>
          <w:p w:rsidR="002E067B" w:rsidRDefault="002E067B" w:rsidP="002E067B">
            <w:pPr>
              <w:spacing w:line="340" w:lineRule="exact"/>
              <w:rPr>
                <w:rFonts w:ascii="宋体" w:eastAsia="宋体" w:hAnsi="宋体" w:cs="宋体"/>
                <w:szCs w:val="21"/>
              </w:rPr>
            </w:pPr>
          </w:p>
        </w:tc>
      </w:tr>
      <w:tr w:rsidR="002E067B" w:rsidTr="00A06621">
        <w:trPr>
          <w:trHeight w:val="416"/>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7</w:t>
            </w:r>
          </w:p>
        </w:tc>
        <w:tc>
          <w:tcPr>
            <w:tcW w:w="1080" w:type="dxa"/>
            <w:vAlign w:val="center"/>
          </w:tcPr>
          <w:p w:rsidR="002E067B" w:rsidRPr="00BF6AE5" w:rsidRDefault="00755D1E" w:rsidP="00BF6AE5">
            <w:pPr>
              <w:pStyle w:val="Other1"/>
              <w:spacing w:line="280" w:lineRule="exact"/>
              <w:ind w:firstLine="0"/>
              <w:jc w:val="left"/>
              <w:rPr>
                <w:spacing w:val="12"/>
                <w:sz w:val="21"/>
                <w:szCs w:val="21"/>
                <w:lang w:val="en-US" w:eastAsia="zh-CN" w:bidi="ar-SA"/>
              </w:rPr>
            </w:pPr>
            <w:r w:rsidRPr="00BF6AE5">
              <w:rPr>
                <w:spacing w:val="12"/>
                <w:sz w:val="21"/>
                <w:szCs w:val="21"/>
                <w:lang w:val="en-US" w:eastAsia="zh-CN" w:bidi="ar-SA"/>
              </w:rPr>
              <w:t>高新区自然资源</w:t>
            </w:r>
            <w:r>
              <w:rPr>
                <w:rFonts w:hint="eastAsia"/>
                <w:spacing w:val="12"/>
                <w:sz w:val="21"/>
                <w:szCs w:val="21"/>
                <w:lang w:val="en-US" w:eastAsia="zh-CN" w:bidi="ar-SA"/>
              </w:rPr>
              <w:t>和</w:t>
            </w:r>
            <w:r>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基础测绘项目、省重点工程测绘项目和使用财政资金五十万元以上的测绘项目，其测绘成果未经专门的测绘产品质量检验机构检验的处罚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vAlign w:val="center"/>
          </w:tcPr>
          <w:p w:rsidR="002E067B" w:rsidRDefault="002E067B" w:rsidP="002E067B">
            <w:pPr>
              <w:spacing w:line="340" w:lineRule="exact"/>
              <w:rPr>
                <w:rFonts w:ascii="宋体" w:eastAsia="宋体" w:hAnsi="宋体" w:cs="宋体"/>
                <w:szCs w:val="21"/>
              </w:rPr>
            </w:pPr>
          </w:p>
        </w:tc>
      </w:tr>
      <w:tr w:rsidR="002E067B" w:rsidTr="00A06621">
        <w:trPr>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8</w:t>
            </w:r>
          </w:p>
        </w:tc>
        <w:tc>
          <w:tcPr>
            <w:tcW w:w="1080" w:type="dxa"/>
            <w:vAlign w:val="center"/>
          </w:tcPr>
          <w:p w:rsidR="002E067B" w:rsidRPr="00BF6AE5" w:rsidRDefault="00755D1E" w:rsidP="00BF6AE5">
            <w:pPr>
              <w:pStyle w:val="Other1"/>
              <w:spacing w:line="280" w:lineRule="exact"/>
              <w:ind w:firstLine="0"/>
              <w:jc w:val="left"/>
              <w:rPr>
                <w:spacing w:val="12"/>
                <w:sz w:val="21"/>
                <w:szCs w:val="21"/>
                <w:lang w:val="en-US" w:eastAsia="zh-CN" w:bidi="ar-SA"/>
              </w:rPr>
            </w:pPr>
            <w:r w:rsidRPr="00BF6AE5">
              <w:rPr>
                <w:spacing w:val="12"/>
                <w:sz w:val="21"/>
                <w:szCs w:val="21"/>
                <w:lang w:val="en-US" w:eastAsia="zh-CN" w:bidi="ar-SA"/>
              </w:rPr>
              <w:t>高新区自然资源</w:t>
            </w:r>
            <w:r>
              <w:rPr>
                <w:rFonts w:hint="eastAsia"/>
                <w:spacing w:val="12"/>
                <w:sz w:val="21"/>
                <w:szCs w:val="21"/>
                <w:lang w:val="en-US" w:eastAsia="zh-CN" w:bidi="ar-SA"/>
              </w:rPr>
              <w:t>和</w:t>
            </w:r>
            <w:r>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编制、出版、展示或者登载未出版的地图，未加印省测绘行政主管部门的批准文号的处罚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widowControl/>
              <w:spacing w:line="340" w:lineRule="exact"/>
              <w:jc w:val="center"/>
              <w:rPr>
                <w:rFonts w:ascii="宋体" w:eastAsia="宋体" w:hAnsi="宋体" w:cs="宋体"/>
                <w:szCs w:val="21"/>
              </w:rPr>
            </w:pPr>
            <w:r>
              <w:rPr>
                <w:rFonts w:ascii="宋体" w:eastAsia="宋体" w:hAnsi="宋体" w:cs="宋体" w:hint="eastAsia"/>
                <w:szCs w:val="21"/>
                <w:lang w:bidi="zh-TW"/>
              </w:rPr>
              <w:t>取消</w:t>
            </w:r>
          </w:p>
        </w:tc>
        <w:tc>
          <w:tcPr>
            <w:tcW w:w="6794" w:type="dxa"/>
            <w:vAlign w:val="center"/>
          </w:tcPr>
          <w:p w:rsidR="002E067B" w:rsidRDefault="002E067B" w:rsidP="002E067B">
            <w:pPr>
              <w:spacing w:line="340" w:lineRule="exact"/>
              <w:rPr>
                <w:rFonts w:ascii="宋体" w:eastAsia="宋体" w:hAnsi="宋体" w:cs="宋体"/>
                <w:szCs w:val="21"/>
              </w:rPr>
            </w:pPr>
          </w:p>
        </w:tc>
      </w:tr>
      <w:tr w:rsidR="002E067B" w:rsidTr="00A06621">
        <w:trPr>
          <w:jc w:val="center"/>
        </w:trPr>
        <w:tc>
          <w:tcPr>
            <w:tcW w:w="612"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lastRenderedPageBreak/>
              <w:t>序号</w:t>
            </w:r>
          </w:p>
        </w:tc>
        <w:tc>
          <w:tcPr>
            <w:tcW w:w="1080"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原实施部门</w:t>
            </w:r>
          </w:p>
        </w:tc>
        <w:tc>
          <w:tcPr>
            <w:tcW w:w="1989"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事项名称及权限</w:t>
            </w:r>
          </w:p>
        </w:tc>
        <w:tc>
          <w:tcPr>
            <w:tcW w:w="760"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事项类型</w:t>
            </w:r>
          </w:p>
        </w:tc>
        <w:tc>
          <w:tcPr>
            <w:tcW w:w="2955"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调整意见</w:t>
            </w:r>
          </w:p>
        </w:tc>
        <w:tc>
          <w:tcPr>
            <w:tcW w:w="6794"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加强事中事后监管措施</w:t>
            </w:r>
          </w:p>
        </w:tc>
      </w:tr>
      <w:tr w:rsidR="002E067B" w:rsidTr="00A06621">
        <w:trPr>
          <w:trHeight w:val="1010"/>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9</w:t>
            </w:r>
          </w:p>
        </w:tc>
        <w:tc>
          <w:tcPr>
            <w:tcW w:w="1080" w:type="dxa"/>
            <w:vAlign w:val="center"/>
          </w:tcPr>
          <w:p w:rsidR="002E067B" w:rsidRDefault="00755D1E" w:rsidP="00A976A5">
            <w:pPr>
              <w:pStyle w:val="Other1"/>
              <w:spacing w:line="280" w:lineRule="exact"/>
              <w:ind w:firstLine="0"/>
              <w:jc w:val="left"/>
              <w:rPr>
                <w:sz w:val="21"/>
                <w:szCs w:val="21"/>
                <w:lang w:val="en-US" w:eastAsia="zh-CN"/>
              </w:rPr>
            </w:pPr>
            <w:r w:rsidRPr="00BF6AE5">
              <w:rPr>
                <w:spacing w:val="12"/>
                <w:sz w:val="21"/>
                <w:szCs w:val="21"/>
                <w:lang w:val="en-US" w:eastAsia="zh-CN" w:bidi="ar-SA"/>
              </w:rPr>
              <w:t>高新区自然资源</w:t>
            </w:r>
            <w:r>
              <w:rPr>
                <w:rFonts w:hint="eastAsia"/>
                <w:spacing w:val="12"/>
                <w:sz w:val="21"/>
                <w:szCs w:val="21"/>
                <w:lang w:val="en-US" w:eastAsia="zh-CN" w:bidi="ar-SA"/>
              </w:rPr>
              <w:t>和</w:t>
            </w:r>
            <w:r>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广告版面超过地图图幅百分之二十或者压盖地图内容的处罚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widowControl/>
              <w:spacing w:line="340" w:lineRule="exact"/>
              <w:jc w:val="center"/>
              <w:rPr>
                <w:rFonts w:ascii="宋体" w:eastAsia="宋体" w:hAnsi="宋体" w:cs="宋体"/>
                <w:szCs w:val="21"/>
              </w:rPr>
            </w:pPr>
            <w:r>
              <w:rPr>
                <w:rFonts w:ascii="宋体" w:eastAsia="宋体" w:hAnsi="宋体" w:cs="宋体" w:hint="eastAsia"/>
                <w:szCs w:val="21"/>
                <w:lang w:bidi="zh-TW"/>
              </w:rPr>
              <w:t>取消</w:t>
            </w:r>
          </w:p>
        </w:tc>
        <w:tc>
          <w:tcPr>
            <w:tcW w:w="6794" w:type="dxa"/>
            <w:vAlign w:val="center"/>
          </w:tcPr>
          <w:p w:rsidR="002E067B" w:rsidRDefault="002E067B" w:rsidP="002E067B">
            <w:pPr>
              <w:spacing w:line="340" w:lineRule="exact"/>
              <w:rPr>
                <w:rFonts w:ascii="宋体" w:eastAsia="宋体" w:hAnsi="宋体" w:cs="宋体"/>
                <w:szCs w:val="21"/>
              </w:rPr>
            </w:pPr>
          </w:p>
        </w:tc>
      </w:tr>
      <w:tr w:rsidR="002E067B" w:rsidTr="00A06621">
        <w:trPr>
          <w:trHeight w:val="1270"/>
          <w:jc w:val="center"/>
        </w:trPr>
        <w:tc>
          <w:tcPr>
            <w:tcW w:w="612" w:type="dxa"/>
            <w:vAlign w:val="center"/>
          </w:tcPr>
          <w:p w:rsidR="002E067B" w:rsidRDefault="002E067B" w:rsidP="00580652">
            <w:pPr>
              <w:pStyle w:val="A40"/>
              <w:spacing w:line="34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r w:rsidR="00580652">
              <w:rPr>
                <w:rFonts w:ascii="宋体" w:eastAsia="宋体" w:hAnsi="宋体" w:cs="宋体"/>
                <w:sz w:val="21"/>
                <w:szCs w:val="21"/>
              </w:rPr>
              <w:t>0</w:t>
            </w:r>
          </w:p>
        </w:tc>
        <w:tc>
          <w:tcPr>
            <w:tcW w:w="1080" w:type="dxa"/>
            <w:vAlign w:val="center"/>
          </w:tcPr>
          <w:p w:rsidR="002E067B" w:rsidRDefault="00755D1E" w:rsidP="00A976A5">
            <w:pPr>
              <w:pStyle w:val="Other1"/>
              <w:spacing w:line="280" w:lineRule="exact"/>
              <w:ind w:firstLine="0"/>
              <w:jc w:val="left"/>
              <w:rPr>
                <w:sz w:val="21"/>
                <w:szCs w:val="21"/>
                <w:lang w:val="en-US" w:eastAsia="zh-CN"/>
              </w:rPr>
            </w:pPr>
            <w:r w:rsidRPr="00BF6AE5">
              <w:rPr>
                <w:spacing w:val="12"/>
                <w:sz w:val="21"/>
                <w:szCs w:val="21"/>
                <w:lang w:val="en-US" w:eastAsia="zh-CN" w:bidi="ar-SA"/>
              </w:rPr>
              <w:t>高新区自然资源</w:t>
            </w:r>
            <w:r>
              <w:rPr>
                <w:rFonts w:hint="eastAsia"/>
                <w:spacing w:val="12"/>
                <w:sz w:val="21"/>
                <w:szCs w:val="21"/>
                <w:lang w:val="en-US" w:eastAsia="zh-CN" w:bidi="ar-SA"/>
              </w:rPr>
              <w:t>和</w:t>
            </w:r>
            <w:r>
              <w:rPr>
                <w:spacing w:val="12"/>
                <w:sz w:val="21"/>
                <w:szCs w:val="21"/>
                <w:lang w:val="en-US" w:eastAsia="zh-CN" w:bidi="ar-SA"/>
              </w:rPr>
              <w:t>规划</w:t>
            </w:r>
            <w:r w:rsidRPr="00BF6AE5">
              <w:rPr>
                <w:spacing w:val="12"/>
                <w:sz w:val="21"/>
                <w:szCs w:val="21"/>
                <w:lang w:val="en-US" w:eastAsia="zh-CN" w:bidi="ar-SA"/>
              </w:rPr>
              <w:t>分局</w:t>
            </w:r>
          </w:p>
        </w:tc>
        <w:tc>
          <w:tcPr>
            <w:tcW w:w="1989" w:type="dxa"/>
            <w:vAlign w:val="center"/>
          </w:tcPr>
          <w:p w:rsidR="002E067B" w:rsidRDefault="002E067B" w:rsidP="002E067B">
            <w:pPr>
              <w:pStyle w:val="Other1"/>
              <w:spacing w:line="280" w:lineRule="exact"/>
              <w:ind w:firstLine="0"/>
              <w:rPr>
                <w:sz w:val="21"/>
                <w:szCs w:val="21"/>
                <w:lang w:val="en-US" w:eastAsia="zh-CN"/>
              </w:rPr>
            </w:pPr>
            <w:r>
              <w:rPr>
                <w:rFonts w:hint="eastAsia"/>
                <w:sz w:val="21"/>
                <w:szCs w:val="21"/>
              </w:rPr>
              <w:t>伪造、涂改、转借、转让测绘资质证书、测绘执业资证书、测绘作业证件的处罚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580652">
        <w:trPr>
          <w:trHeight w:val="1982"/>
          <w:jc w:val="center"/>
        </w:trPr>
        <w:tc>
          <w:tcPr>
            <w:tcW w:w="612" w:type="dxa"/>
            <w:vAlign w:val="center"/>
          </w:tcPr>
          <w:p w:rsidR="002E067B" w:rsidRPr="00BF6AE5" w:rsidRDefault="002E067B" w:rsidP="00580652">
            <w:pPr>
              <w:pStyle w:val="A40"/>
              <w:spacing w:line="340" w:lineRule="exact"/>
              <w:ind w:firstLineChars="0" w:firstLine="0"/>
              <w:jc w:val="center"/>
              <w:rPr>
                <w:rFonts w:ascii="宋体" w:eastAsia="宋体" w:hAnsi="宋体" w:cs="宋体"/>
                <w:sz w:val="21"/>
                <w:szCs w:val="21"/>
              </w:rPr>
            </w:pPr>
            <w:r w:rsidRPr="00BF6AE5">
              <w:rPr>
                <w:rFonts w:ascii="宋体" w:eastAsia="宋体" w:hAnsi="宋体" w:cs="宋体" w:hint="eastAsia"/>
                <w:sz w:val="21"/>
                <w:szCs w:val="21"/>
              </w:rPr>
              <w:t>1</w:t>
            </w:r>
            <w:r w:rsidR="00580652" w:rsidRPr="00BF6AE5">
              <w:rPr>
                <w:rFonts w:ascii="宋体" w:eastAsia="宋体" w:hAnsi="宋体" w:cs="宋体"/>
                <w:sz w:val="21"/>
                <w:szCs w:val="21"/>
              </w:rPr>
              <w:t>1</w:t>
            </w:r>
          </w:p>
        </w:tc>
        <w:tc>
          <w:tcPr>
            <w:tcW w:w="1080" w:type="dxa"/>
            <w:vAlign w:val="center"/>
          </w:tcPr>
          <w:p w:rsidR="002E067B" w:rsidRPr="00BF6AE5" w:rsidRDefault="002E067B" w:rsidP="00A976A5">
            <w:pPr>
              <w:pStyle w:val="Other1"/>
              <w:spacing w:line="280" w:lineRule="exact"/>
              <w:ind w:firstLine="0"/>
              <w:jc w:val="left"/>
              <w:rPr>
                <w:spacing w:val="12"/>
                <w:sz w:val="21"/>
                <w:szCs w:val="21"/>
                <w:lang w:val="en-US" w:eastAsia="zh-CN" w:bidi="ar-SA"/>
              </w:rPr>
            </w:pPr>
            <w:r w:rsidRPr="00BF6AE5">
              <w:rPr>
                <w:rFonts w:hint="eastAsia"/>
                <w:spacing w:val="12"/>
                <w:sz w:val="21"/>
                <w:szCs w:val="21"/>
                <w:lang w:val="en-US" w:eastAsia="zh-CN" w:bidi="ar-SA"/>
              </w:rPr>
              <w:t>行政审批服务局</w:t>
            </w:r>
          </w:p>
        </w:tc>
        <w:tc>
          <w:tcPr>
            <w:tcW w:w="1989" w:type="dxa"/>
            <w:vAlign w:val="center"/>
          </w:tcPr>
          <w:p w:rsidR="002E067B" w:rsidRPr="00BF6AE5" w:rsidRDefault="002E067B" w:rsidP="002E067B">
            <w:pPr>
              <w:pStyle w:val="Other1"/>
              <w:spacing w:line="280" w:lineRule="exact"/>
              <w:ind w:firstLine="0"/>
              <w:rPr>
                <w:sz w:val="21"/>
                <w:szCs w:val="21"/>
              </w:rPr>
            </w:pPr>
            <w:r w:rsidRPr="00BF6AE5">
              <w:rPr>
                <w:rFonts w:hint="eastAsia"/>
                <w:sz w:val="21"/>
                <w:szCs w:val="21"/>
              </w:rPr>
              <w:t>城市供水经营许可 证核发</w:t>
            </w:r>
          </w:p>
        </w:tc>
        <w:tc>
          <w:tcPr>
            <w:tcW w:w="760" w:type="dxa"/>
            <w:vAlign w:val="center"/>
          </w:tcPr>
          <w:p w:rsidR="002E067B" w:rsidRPr="00BF6AE5" w:rsidRDefault="002E067B" w:rsidP="002E067B">
            <w:pPr>
              <w:pStyle w:val="Other1"/>
              <w:spacing w:line="280" w:lineRule="exact"/>
              <w:ind w:firstLine="0"/>
              <w:jc w:val="center"/>
              <w:rPr>
                <w:sz w:val="21"/>
                <w:szCs w:val="21"/>
              </w:rPr>
            </w:pPr>
            <w:r>
              <w:rPr>
                <w:rFonts w:hint="eastAsia"/>
                <w:sz w:val="21"/>
                <w:szCs w:val="21"/>
              </w:rPr>
              <w:t>行政许可</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vAlign w:val="center"/>
          </w:tcPr>
          <w:p w:rsidR="002E067B" w:rsidRDefault="002E067B" w:rsidP="002E067B">
            <w:pPr>
              <w:pStyle w:val="Other1"/>
              <w:spacing w:line="300" w:lineRule="exact"/>
              <w:ind w:firstLine="0"/>
              <w:rPr>
                <w:sz w:val="21"/>
                <w:szCs w:val="21"/>
              </w:rPr>
            </w:pPr>
            <w:r>
              <w:rPr>
                <w:rFonts w:hint="eastAsia"/>
                <w:sz w:val="21"/>
                <w:szCs w:val="21"/>
                <w:lang w:val="en-US" w:eastAsia="zh-CN"/>
              </w:rPr>
              <w:t>取消许可后，行政审批服务部门要与水利部门做好事中事后监管的衔接、沟通、协调等工作，水利部门要通过以下措施加强监管：</w:t>
            </w:r>
          </w:p>
          <w:p w:rsidR="002E067B" w:rsidRDefault="002E067B" w:rsidP="002E067B">
            <w:pPr>
              <w:pStyle w:val="Other1"/>
              <w:tabs>
                <w:tab w:val="left" w:pos="259"/>
              </w:tabs>
              <w:spacing w:line="300" w:lineRule="exact"/>
              <w:ind w:firstLine="0"/>
              <w:jc w:val="left"/>
              <w:rPr>
                <w:sz w:val="21"/>
                <w:szCs w:val="21"/>
              </w:rPr>
            </w:pPr>
            <w:r>
              <w:rPr>
                <w:rFonts w:hint="eastAsia"/>
                <w:sz w:val="21"/>
                <w:szCs w:val="21"/>
                <w:lang w:val="en-US" w:eastAsia="zh-CN"/>
              </w:rPr>
              <w:t>1.</w:t>
            </w:r>
            <w:r>
              <w:rPr>
                <w:rFonts w:hint="eastAsia"/>
                <w:sz w:val="21"/>
                <w:szCs w:val="21"/>
              </w:rPr>
              <w:t>纳入日常行业监管。</w:t>
            </w:r>
          </w:p>
          <w:p w:rsidR="002E067B" w:rsidRDefault="002E067B" w:rsidP="002E067B">
            <w:pPr>
              <w:pStyle w:val="Other1"/>
              <w:tabs>
                <w:tab w:val="left" w:pos="269"/>
              </w:tabs>
              <w:spacing w:line="300" w:lineRule="exact"/>
              <w:ind w:firstLine="0"/>
              <w:rPr>
                <w:sz w:val="21"/>
                <w:szCs w:val="21"/>
              </w:rPr>
            </w:pPr>
            <w:r>
              <w:rPr>
                <w:rFonts w:hint="eastAsia"/>
                <w:sz w:val="21"/>
                <w:szCs w:val="21"/>
                <w:lang w:val="en-US" w:eastAsia="zh-CN"/>
              </w:rPr>
              <w:t>2.</w:t>
            </w:r>
            <w:r>
              <w:rPr>
                <w:rFonts w:hint="eastAsia"/>
                <w:sz w:val="21"/>
                <w:szCs w:val="21"/>
              </w:rPr>
              <w:t>开展</w:t>
            </w:r>
            <w:r>
              <w:rPr>
                <w:rFonts w:hint="eastAsia"/>
                <w:sz w:val="21"/>
                <w:szCs w:val="21"/>
                <w:lang w:val="zh-CN" w:eastAsia="zh-CN" w:bidi="zh-CN"/>
              </w:rPr>
              <w:t>“双</w:t>
            </w:r>
            <w:r>
              <w:rPr>
                <w:rFonts w:hint="eastAsia"/>
                <w:sz w:val="21"/>
                <w:szCs w:val="21"/>
              </w:rPr>
              <w:t>随机、一公开”监管，畅通投诉举报渠道，发现违法违规行为要依法査处并向社会公开结果。</w:t>
            </w:r>
          </w:p>
          <w:p w:rsidR="002E067B" w:rsidRDefault="002E067B" w:rsidP="002E067B">
            <w:pPr>
              <w:pStyle w:val="Other1"/>
              <w:tabs>
                <w:tab w:val="left" w:pos="269"/>
              </w:tabs>
              <w:spacing w:line="300" w:lineRule="exact"/>
              <w:ind w:firstLine="0"/>
              <w:rPr>
                <w:sz w:val="21"/>
                <w:szCs w:val="21"/>
                <w:lang w:val="en-US" w:eastAsia="zh-CN"/>
              </w:rPr>
            </w:pPr>
            <w:r>
              <w:rPr>
                <w:rFonts w:hint="eastAsia"/>
                <w:sz w:val="21"/>
                <w:szCs w:val="21"/>
                <w:lang w:val="en-US" w:eastAsia="zh-CN"/>
              </w:rPr>
              <w:t>3.</w:t>
            </w:r>
            <w:r>
              <w:rPr>
                <w:rFonts w:hint="eastAsia"/>
                <w:sz w:val="21"/>
                <w:szCs w:val="21"/>
              </w:rPr>
              <w:t>依法实施信用监管，如实记录违法失信行为，实施差异化监管等措施。</w:t>
            </w:r>
          </w:p>
        </w:tc>
      </w:tr>
      <w:tr w:rsidR="002E067B" w:rsidTr="00757E2D">
        <w:trPr>
          <w:trHeight w:val="975"/>
          <w:jc w:val="center"/>
        </w:trPr>
        <w:tc>
          <w:tcPr>
            <w:tcW w:w="612" w:type="dxa"/>
            <w:vAlign w:val="center"/>
          </w:tcPr>
          <w:p w:rsidR="002E067B" w:rsidRPr="00BF6AE5" w:rsidRDefault="002E067B" w:rsidP="00580652">
            <w:pPr>
              <w:pStyle w:val="A40"/>
              <w:spacing w:line="340" w:lineRule="exact"/>
              <w:ind w:firstLineChars="0" w:firstLine="0"/>
              <w:jc w:val="center"/>
              <w:rPr>
                <w:rFonts w:ascii="宋体" w:eastAsia="宋体" w:hAnsi="宋体" w:cs="宋体"/>
                <w:sz w:val="21"/>
                <w:szCs w:val="21"/>
              </w:rPr>
            </w:pPr>
            <w:r w:rsidRPr="00BF6AE5">
              <w:rPr>
                <w:rFonts w:ascii="宋体" w:eastAsia="宋体" w:hAnsi="宋体" w:cs="宋体" w:hint="eastAsia"/>
                <w:sz w:val="21"/>
                <w:szCs w:val="21"/>
              </w:rPr>
              <w:t>1</w:t>
            </w:r>
            <w:r w:rsidR="00580652" w:rsidRPr="00BF6AE5">
              <w:rPr>
                <w:rFonts w:ascii="宋体" w:eastAsia="宋体" w:hAnsi="宋体" w:cs="宋体"/>
                <w:sz w:val="21"/>
                <w:szCs w:val="21"/>
              </w:rPr>
              <w:t>2</w:t>
            </w:r>
          </w:p>
        </w:tc>
        <w:tc>
          <w:tcPr>
            <w:tcW w:w="1080" w:type="dxa"/>
            <w:vAlign w:val="center"/>
          </w:tcPr>
          <w:p w:rsidR="002E067B" w:rsidRPr="00BF6AE5" w:rsidRDefault="00BF6AE5" w:rsidP="00A976A5">
            <w:pPr>
              <w:pStyle w:val="Other1"/>
              <w:spacing w:line="280" w:lineRule="exact"/>
              <w:ind w:firstLine="0"/>
              <w:jc w:val="left"/>
              <w:rPr>
                <w:spacing w:val="12"/>
                <w:sz w:val="21"/>
                <w:szCs w:val="21"/>
                <w:lang w:val="en-US" w:eastAsia="zh-CN" w:bidi="ar-SA"/>
              </w:rPr>
            </w:pPr>
            <w:r w:rsidRPr="00BF6AE5">
              <w:rPr>
                <w:rFonts w:hint="eastAsia"/>
                <w:spacing w:val="12"/>
                <w:sz w:val="21"/>
                <w:szCs w:val="21"/>
                <w:lang w:val="en-US" w:eastAsia="zh-CN" w:bidi="ar-SA"/>
              </w:rPr>
              <w:t>建设局</w:t>
            </w:r>
          </w:p>
        </w:tc>
        <w:tc>
          <w:tcPr>
            <w:tcW w:w="1989" w:type="dxa"/>
            <w:vAlign w:val="center"/>
          </w:tcPr>
          <w:p w:rsidR="002E067B" w:rsidRPr="00BF6AE5" w:rsidRDefault="002E067B" w:rsidP="002E067B">
            <w:pPr>
              <w:pStyle w:val="Other1"/>
              <w:spacing w:line="280" w:lineRule="exact"/>
              <w:ind w:firstLine="0"/>
              <w:rPr>
                <w:sz w:val="21"/>
                <w:szCs w:val="21"/>
              </w:rPr>
            </w:pPr>
            <w:r w:rsidRPr="00BF6AE5">
              <w:rPr>
                <w:rFonts w:hint="eastAsia"/>
                <w:sz w:val="21"/>
                <w:szCs w:val="21"/>
              </w:rPr>
              <w:t>建筑节能认可</w:t>
            </w:r>
          </w:p>
        </w:tc>
        <w:tc>
          <w:tcPr>
            <w:tcW w:w="760" w:type="dxa"/>
            <w:vAlign w:val="center"/>
          </w:tcPr>
          <w:p w:rsidR="002E067B" w:rsidRPr="00BF6AE5" w:rsidRDefault="002E067B" w:rsidP="002E067B">
            <w:pPr>
              <w:pStyle w:val="Other1"/>
              <w:spacing w:line="280" w:lineRule="exact"/>
              <w:ind w:firstLine="0"/>
              <w:jc w:val="center"/>
              <w:rPr>
                <w:sz w:val="21"/>
                <w:szCs w:val="21"/>
              </w:rPr>
            </w:pPr>
            <w:r>
              <w:rPr>
                <w:rFonts w:hint="eastAsia"/>
                <w:sz w:val="21"/>
                <w:szCs w:val="21"/>
              </w:rPr>
              <w:t>其他行政 权力</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vAlign w:val="center"/>
          </w:tcPr>
          <w:p w:rsidR="002E067B" w:rsidRDefault="002E067B" w:rsidP="002E067B">
            <w:pPr>
              <w:pStyle w:val="Other1"/>
              <w:spacing w:line="300" w:lineRule="exact"/>
              <w:ind w:firstLine="0"/>
              <w:rPr>
                <w:sz w:val="21"/>
                <w:szCs w:val="21"/>
              </w:rPr>
            </w:pPr>
            <w:r>
              <w:rPr>
                <w:rFonts w:hint="eastAsia"/>
                <w:sz w:val="21"/>
                <w:szCs w:val="21"/>
              </w:rPr>
              <w:t>取消许可后，住房城乡建设主管部门要通过以下措施加强监管：</w:t>
            </w:r>
          </w:p>
          <w:p w:rsidR="002E067B" w:rsidRDefault="002E067B" w:rsidP="002E067B">
            <w:pPr>
              <w:pStyle w:val="Other1"/>
              <w:tabs>
                <w:tab w:val="left" w:pos="269"/>
              </w:tabs>
              <w:spacing w:line="300" w:lineRule="exact"/>
              <w:ind w:firstLine="0"/>
              <w:rPr>
                <w:sz w:val="21"/>
                <w:szCs w:val="21"/>
                <w:lang w:val="en-US" w:eastAsia="zh-CN"/>
              </w:rPr>
            </w:pPr>
            <w:r>
              <w:rPr>
                <w:rFonts w:hint="eastAsia"/>
                <w:sz w:val="21"/>
                <w:szCs w:val="21"/>
                <w:lang w:val="en-US" w:eastAsia="zh-CN"/>
              </w:rPr>
              <w:t>1.加强建筑节能分项工程施工过程监管。</w:t>
            </w:r>
          </w:p>
          <w:p w:rsidR="002E067B" w:rsidRDefault="002E067B" w:rsidP="002E067B">
            <w:pPr>
              <w:pStyle w:val="Other1"/>
              <w:tabs>
                <w:tab w:val="left" w:pos="269"/>
              </w:tabs>
              <w:spacing w:line="300" w:lineRule="exact"/>
              <w:ind w:firstLine="0"/>
              <w:rPr>
                <w:sz w:val="21"/>
                <w:szCs w:val="21"/>
                <w:lang w:val="en-US" w:eastAsia="zh-CN"/>
              </w:rPr>
            </w:pPr>
            <w:r>
              <w:rPr>
                <w:rFonts w:hint="eastAsia"/>
                <w:sz w:val="21"/>
                <w:szCs w:val="21"/>
                <w:lang w:val="en-US" w:eastAsia="zh-CN"/>
              </w:rPr>
              <w:t>2.对在建项目开展“双随机、一公开”专项执法检查，对在检查中发现违法行为依法依规进行处理，并将检查结果向社会公告。对投诉举报多或有严重违法违规记录等情况的工程项目，加大随机抽查或案后回查力度。</w:t>
            </w:r>
          </w:p>
          <w:p w:rsidR="002E067B" w:rsidRDefault="002E067B" w:rsidP="002E067B">
            <w:pPr>
              <w:pStyle w:val="Other1"/>
              <w:tabs>
                <w:tab w:val="left" w:pos="269"/>
              </w:tabs>
              <w:spacing w:line="300" w:lineRule="exact"/>
              <w:ind w:firstLine="0"/>
              <w:rPr>
                <w:sz w:val="21"/>
                <w:szCs w:val="21"/>
                <w:lang w:val="en-US" w:eastAsia="zh-CN"/>
              </w:rPr>
            </w:pPr>
            <w:r>
              <w:rPr>
                <w:rFonts w:hint="eastAsia"/>
                <w:sz w:val="21"/>
                <w:szCs w:val="21"/>
                <w:lang w:val="en-US" w:eastAsia="zh-CN"/>
              </w:rPr>
              <w:t>3.根据《淄博市建筑业企业信用评价管理办法》、《淄博市房地产开发企业信用评价管理办法》等，将违法行为记入不良行为记录。</w:t>
            </w:r>
          </w:p>
          <w:p w:rsidR="002E067B" w:rsidRDefault="002E067B" w:rsidP="002E067B">
            <w:pPr>
              <w:pStyle w:val="Other1"/>
              <w:tabs>
                <w:tab w:val="left" w:pos="269"/>
              </w:tabs>
              <w:spacing w:line="300" w:lineRule="exact"/>
              <w:ind w:firstLine="0"/>
              <w:rPr>
                <w:sz w:val="21"/>
                <w:szCs w:val="21"/>
                <w:lang w:val="en-US" w:eastAsia="zh-CN"/>
              </w:rPr>
            </w:pPr>
            <w:r>
              <w:rPr>
                <w:rFonts w:hint="eastAsia"/>
                <w:sz w:val="21"/>
                <w:szCs w:val="21"/>
                <w:lang w:val="en-US" w:eastAsia="zh-CN"/>
              </w:rPr>
              <w:t>4.根据《山东省民用建筑节能条例》《淄博市建筑业企业信用评价管理办法》对建筑节能违法失信行为，给予企业信用扣分。按照诚信激励和失信惩戒的原则，在资质管理、保证金预留及日常监管等工作中予以应用。</w:t>
            </w:r>
          </w:p>
        </w:tc>
      </w:tr>
      <w:tr w:rsidR="002E067B" w:rsidTr="00A976A5">
        <w:trPr>
          <w:trHeight w:val="691"/>
          <w:jc w:val="center"/>
        </w:trPr>
        <w:tc>
          <w:tcPr>
            <w:tcW w:w="612"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lastRenderedPageBreak/>
              <w:t>序号</w:t>
            </w:r>
          </w:p>
        </w:tc>
        <w:tc>
          <w:tcPr>
            <w:tcW w:w="1080"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原实施部门</w:t>
            </w:r>
          </w:p>
        </w:tc>
        <w:tc>
          <w:tcPr>
            <w:tcW w:w="1989"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事项名称及权限</w:t>
            </w:r>
          </w:p>
        </w:tc>
        <w:tc>
          <w:tcPr>
            <w:tcW w:w="760"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事项类型</w:t>
            </w:r>
          </w:p>
        </w:tc>
        <w:tc>
          <w:tcPr>
            <w:tcW w:w="2955"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调整意见</w:t>
            </w:r>
          </w:p>
        </w:tc>
        <w:tc>
          <w:tcPr>
            <w:tcW w:w="6794" w:type="dxa"/>
            <w:vAlign w:val="center"/>
          </w:tcPr>
          <w:p w:rsidR="002E067B" w:rsidRPr="00580652" w:rsidRDefault="002E067B" w:rsidP="002E067B">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加强事中事后监管措施</w:t>
            </w:r>
          </w:p>
        </w:tc>
      </w:tr>
      <w:tr w:rsidR="002E067B" w:rsidTr="00A06621">
        <w:trPr>
          <w:trHeight w:val="1685"/>
          <w:jc w:val="center"/>
        </w:trPr>
        <w:tc>
          <w:tcPr>
            <w:tcW w:w="612" w:type="dxa"/>
            <w:vAlign w:val="center"/>
          </w:tcPr>
          <w:p w:rsidR="002E067B" w:rsidRDefault="002E067B" w:rsidP="00580652">
            <w:pPr>
              <w:pStyle w:val="A40"/>
              <w:spacing w:line="34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r w:rsidR="00580652">
              <w:rPr>
                <w:rFonts w:ascii="宋体" w:eastAsia="宋体" w:hAnsi="宋体" w:cs="宋体"/>
                <w:sz w:val="21"/>
                <w:szCs w:val="21"/>
              </w:rPr>
              <w:t>3</w:t>
            </w:r>
          </w:p>
        </w:tc>
        <w:tc>
          <w:tcPr>
            <w:tcW w:w="1080" w:type="dxa"/>
            <w:vAlign w:val="center"/>
          </w:tcPr>
          <w:p w:rsidR="002E067B" w:rsidRDefault="00BF6AE5" w:rsidP="00A976A5">
            <w:pPr>
              <w:pStyle w:val="Other1"/>
              <w:spacing w:line="240" w:lineRule="exact"/>
              <w:ind w:firstLine="0"/>
              <w:jc w:val="left"/>
              <w:rPr>
                <w:sz w:val="21"/>
                <w:szCs w:val="21"/>
                <w:lang w:val="en-US" w:eastAsia="zh-CN"/>
              </w:rPr>
            </w:pPr>
            <w:r>
              <w:rPr>
                <w:rFonts w:hint="eastAsia"/>
                <w:sz w:val="21"/>
                <w:szCs w:val="21"/>
                <w:lang w:eastAsia="zh-CN"/>
              </w:rPr>
              <w:t>建设局</w:t>
            </w:r>
          </w:p>
        </w:tc>
        <w:tc>
          <w:tcPr>
            <w:tcW w:w="1989" w:type="dxa"/>
            <w:vAlign w:val="center"/>
          </w:tcPr>
          <w:p w:rsidR="002E067B" w:rsidRDefault="002E067B" w:rsidP="002E067B">
            <w:pPr>
              <w:pStyle w:val="Other1"/>
              <w:spacing w:line="240" w:lineRule="exact"/>
              <w:ind w:firstLine="0"/>
              <w:rPr>
                <w:sz w:val="21"/>
                <w:szCs w:val="21"/>
                <w:lang w:val="en-US" w:eastAsia="zh-CN"/>
              </w:rPr>
            </w:pPr>
            <w:r>
              <w:rPr>
                <w:rFonts w:hint="eastAsia"/>
                <w:sz w:val="21"/>
                <w:szCs w:val="21"/>
              </w:rPr>
              <w:t>对政府投资的大中 型建设工程项目初 步设计文件未经审 査或者经审査未通 过，擅自交付施工的处罚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A976A5">
        <w:trPr>
          <w:trHeight w:val="1560"/>
          <w:jc w:val="center"/>
        </w:trPr>
        <w:tc>
          <w:tcPr>
            <w:tcW w:w="612" w:type="dxa"/>
            <w:vAlign w:val="center"/>
          </w:tcPr>
          <w:p w:rsidR="002E067B" w:rsidRDefault="002E067B" w:rsidP="00580652">
            <w:pPr>
              <w:pStyle w:val="A40"/>
              <w:spacing w:line="34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r w:rsidR="00580652">
              <w:rPr>
                <w:rFonts w:ascii="宋体" w:eastAsia="宋体" w:hAnsi="宋体" w:cs="宋体"/>
                <w:sz w:val="21"/>
                <w:szCs w:val="21"/>
              </w:rPr>
              <w:t>4</w:t>
            </w:r>
          </w:p>
        </w:tc>
        <w:tc>
          <w:tcPr>
            <w:tcW w:w="1080" w:type="dxa"/>
            <w:vAlign w:val="center"/>
          </w:tcPr>
          <w:p w:rsidR="002E067B" w:rsidRPr="00BF6AE5" w:rsidRDefault="002E067B" w:rsidP="00A976A5">
            <w:pPr>
              <w:pStyle w:val="Other1"/>
              <w:spacing w:line="240" w:lineRule="exact"/>
              <w:ind w:firstLine="0"/>
              <w:jc w:val="left"/>
              <w:rPr>
                <w:rFonts w:eastAsia="PMingLiU"/>
                <w:sz w:val="21"/>
                <w:szCs w:val="21"/>
                <w:lang w:val="en-US" w:eastAsia="zh-CN"/>
              </w:rPr>
            </w:pPr>
            <w:r>
              <w:rPr>
                <w:rFonts w:hint="eastAsia"/>
                <w:sz w:val="21"/>
                <w:szCs w:val="21"/>
              </w:rPr>
              <w:t>建设</w:t>
            </w:r>
            <w:r w:rsidR="00BF6AE5">
              <w:rPr>
                <w:rFonts w:hint="eastAsia"/>
                <w:sz w:val="21"/>
                <w:szCs w:val="21"/>
                <w:lang w:eastAsia="zh-CN"/>
              </w:rPr>
              <w:t>局</w:t>
            </w:r>
          </w:p>
        </w:tc>
        <w:tc>
          <w:tcPr>
            <w:tcW w:w="1989" w:type="dxa"/>
            <w:vAlign w:val="center"/>
          </w:tcPr>
          <w:p w:rsidR="002E067B" w:rsidRDefault="002E067B" w:rsidP="002E067B">
            <w:pPr>
              <w:pStyle w:val="Other1"/>
              <w:spacing w:line="240" w:lineRule="exact"/>
              <w:ind w:firstLine="0"/>
              <w:rPr>
                <w:sz w:val="21"/>
                <w:szCs w:val="21"/>
                <w:lang w:val="en-US" w:eastAsia="zh-CN"/>
              </w:rPr>
            </w:pPr>
            <w:r>
              <w:rPr>
                <w:rFonts w:hint="eastAsia"/>
                <w:sz w:val="21"/>
                <w:szCs w:val="21"/>
              </w:rPr>
              <w:t>对学校、幼儿园、医院等建筑工程未经抗震设防专项审査或者经审査未通过，擅自交付施工的处罚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A976A5">
        <w:trPr>
          <w:trHeight w:val="988"/>
          <w:jc w:val="center"/>
        </w:trPr>
        <w:tc>
          <w:tcPr>
            <w:tcW w:w="612" w:type="dxa"/>
            <w:vAlign w:val="center"/>
          </w:tcPr>
          <w:p w:rsidR="002E067B" w:rsidRDefault="002E067B" w:rsidP="00580652">
            <w:pPr>
              <w:pStyle w:val="A40"/>
              <w:spacing w:line="34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r w:rsidR="00580652">
              <w:rPr>
                <w:rFonts w:ascii="宋体" w:eastAsia="宋体" w:hAnsi="宋体" w:cs="宋体"/>
                <w:sz w:val="21"/>
                <w:szCs w:val="21"/>
              </w:rPr>
              <w:t>5</w:t>
            </w:r>
          </w:p>
        </w:tc>
        <w:tc>
          <w:tcPr>
            <w:tcW w:w="1080" w:type="dxa"/>
            <w:vAlign w:val="center"/>
          </w:tcPr>
          <w:p w:rsidR="002E067B" w:rsidRDefault="00BF6AE5" w:rsidP="00A976A5">
            <w:pPr>
              <w:pStyle w:val="Other1"/>
              <w:spacing w:line="240" w:lineRule="exact"/>
              <w:ind w:firstLine="0"/>
              <w:jc w:val="left"/>
              <w:rPr>
                <w:sz w:val="21"/>
                <w:szCs w:val="21"/>
                <w:lang w:val="en-US" w:eastAsia="zh-CN"/>
              </w:rPr>
            </w:pPr>
            <w:r>
              <w:rPr>
                <w:rFonts w:hint="eastAsia"/>
                <w:sz w:val="21"/>
                <w:szCs w:val="21"/>
              </w:rPr>
              <w:t>建设</w:t>
            </w:r>
            <w:r>
              <w:rPr>
                <w:rFonts w:hint="eastAsia"/>
                <w:sz w:val="21"/>
                <w:szCs w:val="21"/>
                <w:lang w:eastAsia="zh-CN"/>
              </w:rPr>
              <w:t>局</w:t>
            </w:r>
          </w:p>
        </w:tc>
        <w:tc>
          <w:tcPr>
            <w:tcW w:w="1989" w:type="dxa"/>
            <w:vAlign w:val="center"/>
          </w:tcPr>
          <w:p w:rsidR="002E067B" w:rsidRDefault="002E067B" w:rsidP="002E067B">
            <w:pPr>
              <w:pStyle w:val="Other1"/>
              <w:spacing w:line="240" w:lineRule="exact"/>
              <w:ind w:firstLine="0"/>
              <w:rPr>
                <w:sz w:val="21"/>
                <w:szCs w:val="21"/>
                <w:lang w:val="en-US" w:eastAsia="zh-CN"/>
              </w:rPr>
            </w:pPr>
            <w:r>
              <w:rPr>
                <w:rFonts w:hint="eastAsia"/>
                <w:sz w:val="21"/>
                <w:szCs w:val="21"/>
              </w:rPr>
              <w:t>对建设单位参与搬 迁活动的处罚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A976A5">
        <w:trPr>
          <w:trHeight w:val="1992"/>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16</w:t>
            </w:r>
          </w:p>
        </w:tc>
        <w:tc>
          <w:tcPr>
            <w:tcW w:w="1080" w:type="dxa"/>
            <w:vAlign w:val="center"/>
          </w:tcPr>
          <w:p w:rsidR="002E067B" w:rsidRDefault="00BF6AE5" w:rsidP="00A976A5">
            <w:pPr>
              <w:pStyle w:val="Other1"/>
              <w:spacing w:line="240" w:lineRule="exact"/>
              <w:ind w:firstLine="0"/>
              <w:jc w:val="left"/>
              <w:rPr>
                <w:sz w:val="21"/>
                <w:szCs w:val="21"/>
                <w:lang w:val="en-US" w:eastAsia="zh-CN"/>
              </w:rPr>
            </w:pPr>
            <w:r w:rsidRPr="00BF6AE5">
              <w:rPr>
                <w:rFonts w:hint="eastAsia"/>
                <w:spacing w:val="12"/>
                <w:sz w:val="21"/>
                <w:szCs w:val="21"/>
                <w:lang w:val="en-US" w:eastAsia="zh-CN" w:bidi="ar-SA"/>
              </w:rPr>
              <w:t>农业</w:t>
            </w:r>
            <w:r w:rsidRPr="00BF6AE5">
              <w:rPr>
                <w:spacing w:val="12"/>
                <w:sz w:val="21"/>
                <w:szCs w:val="21"/>
                <w:lang w:val="en-US" w:eastAsia="zh-CN" w:bidi="ar-SA"/>
              </w:rPr>
              <w:t>农村与</w:t>
            </w:r>
            <w:r w:rsidRPr="00BF6AE5">
              <w:rPr>
                <w:rFonts w:hint="eastAsia"/>
                <w:spacing w:val="12"/>
                <w:sz w:val="21"/>
                <w:szCs w:val="21"/>
                <w:lang w:val="en-US" w:eastAsia="zh-CN" w:bidi="ar-SA"/>
              </w:rPr>
              <w:t>民政</w:t>
            </w:r>
            <w:r w:rsidRPr="00BF6AE5">
              <w:rPr>
                <w:spacing w:val="12"/>
                <w:sz w:val="21"/>
                <w:szCs w:val="21"/>
                <w:lang w:val="en-US" w:eastAsia="zh-CN" w:bidi="ar-SA"/>
              </w:rPr>
              <w:t>事业中心</w:t>
            </w:r>
          </w:p>
        </w:tc>
        <w:tc>
          <w:tcPr>
            <w:tcW w:w="1989" w:type="dxa"/>
            <w:vAlign w:val="center"/>
          </w:tcPr>
          <w:p w:rsidR="002E067B" w:rsidRDefault="002E067B" w:rsidP="002E067B">
            <w:pPr>
              <w:pStyle w:val="Other1"/>
              <w:spacing w:line="240" w:lineRule="exact"/>
              <w:ind w:firstLine="0"/>
              <w:rPr>
                <w:sz w:val="21"/>
                <w:szCs w:val="21"/>
                <w:lang w:val="en-US" w:eastAsia="zh-CN"/>
              </w:rPr>
            </w:pPr>
            <w:r>
              <w:rPr>
                <w:rFonts w:hint="eastAsia"/>
                <w:sz w:val="21"/>
                <w:szCs w:val="21"/>
              </w:rPr>
              <w:t>对生猪定点屠宰厂 （场）或者小型生猪屠宰场点屠宰技术人员未依法取得县级以上医疗机构开具的健康证明的处罚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lang w:val="en-US" w:eastAsia="zh-CN"/>
              </w:rPr>
              <w:t>取消</w:t>
            </w:r>
          </w:p>
        </w:tc>
        <w:tc>
          <w:tcPr>
            <w:tcW w:w="6794" w:type="dxa"/>
          </w:tcPr>
          <w:p w:rsidR="002E067B" w:rsidRDefault="002E067B" w:rsidP="002E067B">
            <w:pPr>
              <w:spacing w:line="280" w:lineRule="exact"/>
              <w:rPr>
                <w:rFonts w:ascii="宋体" w:eastAsia="宋体" w:hAnsi="宋体" w:cs="宋体"/>
                <w:szCs w:val="21"/>
              </w:rPr>
            </w:pPr>
          </w:p>
        </w:tc>
      </w:tr>
      <w:tr w:rsidR="002E067B" w:rsidTr="00580652">
        <w:trPr>
          <w:trHeight w:val="1597"/>
          <w:jc w:val="center"/>
        </w:trPr>
        <w:tc>
          <w:tcPr>
            <w:tcW w:w="612" w:type="dxa"/>
            <w:vAlign w:val="center"/>
          </w:tcPr>
          <w:p w:rsidR="002E067B" w:rsidRDefault="00580652" w:rsidP="002E067B">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17</w:t>
            </w:r>
          </w:p>
        </w:tc>
        <w:tc>
          <w:tcPr>
            <w:tcW w:w="1080" w:type="dxa"/>
            <w:vAlign w:val="center"/>
          </w:tcPr>
          <w:p w:rsidR="002E067B" w:rsidRDefault="00BF6AE5" w:rsidP="00A976A5">
            <w:pPr>
              <w:pStyle w:val="Other1"/>
              <w:spacing w:line="260" w:lineRule="exact"/>
              <w:ind w:firstLine="0"/>
              <w:jc w:val="left"/>
              <w:rPr>
                <w:sz w:val="21"/>
                <w:szCs w:val="21"/>
                <w:lang w:val="en-US" w:eastAsia="zh-CN"/>
              </w:rPr>
            </w:pPr>
            <w:r w:rsidRPr="00BF6AE5">
              <w:rPr>
                <w:rFonts w:hint="eastAsia"/>
                <w:spacing w:val="12"/>
                <w:sz w:val="21"/>
                <w:szCs w:val="21"/>
                <w:lang w:val="en-US" w:eastAsia="zh-CN" w:bidi="ar-SA"/>
              </w:rPr>
              <w:t>农业</w:t>
            </w:r>
            <w:r w:rsidRPr="00BF6AE5">
              <w:rPr>
                <w:spacing w:val="12"/>
                <w:sz w:val="21"/>
                <w:szCs w:val="21"/>
                <w:lang w:val="en-US" w:eastAsia="zh-CN" w:bidi="ar-SA"/>
              </w:rPr>
              <w:t>农村与</w:t>
            </w:r>
            <w:r w:rsidRPr="00BF6AE5">
              <w:rPr>
                <w:rFonts w:hint="eastAsia"/>
                <w:spacing w:val="12"/>
                <w:sz w:val="21"/>
                <w:szCs w:val="21"/>
                <w:lang w:val="en-US" w:eastAsia="zh-CN" w:bidi="ar-SA"/>
              </w:rPr>
              <w:t>民政</w:t>
            </w:r>
            <w:r w:rsidRPr="00BF6AE5">
              <w:rPr>
                <w:spacing w:val="12"/>
                <w:sz w:val="21"/>
                <w:szCs w:val="21"/>
                <w:lang w:val="en-US" w:eastAsia="zh-CN" w:bidi="ar-SA"/>
              </w:rPr>
              <w:t>事业中心</w:t>
            </w:r>
          </w:p>
        </w:tc>
        <w:tc>
          <w:tcPr>
            <w:tcW w:w="1989" w:type="dxa"/>
            <w:vAlign w:val="center"/>
          </w:tcPr>
          <w:p w:rsidR="002E067B" w:rsidRDefault="002E067B" w:rsidP="002E067B">
            <w:pPr>
              <w:pStyle w:val="Other1"/>
              <w:spacing w:line="260" w:lineRule="exact"/>
              <w:ind w:firstLine="0"/>
              <w:rPr>
                <w:sz w:val="21"/>
                <w:szCs w:val="21"/>
                <w:lang w:val="en-US" w:eastAsia="zh-CN"/>
              </w:rPr>
            </w:pPr>
            <w:r>
              <w:rPr>
                <w:rFonts w:hint="eastAsia"/>
                <w:sz w:val="21"/>
                <w:szCs w:val="21"/>
              </w:rPr>
              <w:t>对生猪定点屠宰厂 （场）运载生猪产品不符合《山东省生猪屠宰管理办法》规定的处罚</w:t>
            </w:r>
          </w:p>
        </w:tc>
        <w:tc>
          <w:tcPr>
            <w:tcW w:w="760" w:type="dxa"/>
            <w:vAlign w:val="center"/>
          </w:tcPr>
          <w:p w:rsidR="002E067B" w:rsidRDefault="002E067B" w:rsidP="002E067B">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2E067B" w:rsidRDefault="002E067B" w:rsidP="002E067B">
            <w:pPr>
              <w:widowControl/>
              <w:spacing w:line="340" w:lineRule="exact"/>
              <w:jc w:val="center"/>
              <w:rPr>
                <w:rFonts w:ascii="宋体" w:eastAsia="宋体" w:hAnsi="宋体" w:cs="宋体"/>
                <w:szCs w:val="21"/>
              </w:rPr>
            </w:pPr>
            <w:r>
              <w:rPr>
                <w:rFonts w:ascii="宋体" w:eastAsia="宋体" w:hAnsi="宋体" w:cs="宋体" w:hint="eastAsia"/>
                <w:szCs w:val="21"/>
                <w:lang w:bidi="zh-TW"/>
              </w:rPr>
              <w:t>取消</w:t>
            </w:r>
          </w:p>
        </w:tc>
        <w:tc>
          <w:tcPr>
            <w:tcW w:w="6794" w:type="dxa"/>
            <w:vAlign w:val="center"/>
          </w:tcPr>
          <w:p w:rsidR="002E067B" w:rsidRDefault="002E067B" w:rsidP="002E067B">
            <w:pPr>
              <w:spacing w:line="340" w:lineRule="exact"/>
              <w:rPr>
                <w:rFonts w:ascii="宋体" w:eastAsia="宋体" w:hAnsi="宋体" w:cs="宋体"/>
                <w:szCs w:val="21"/>
              </w:rPr>
            </w:pPr>
          </w:p>
        </w:tc>
      </w:tr>
      <w:tr w:rsidR="00580652" w:rsidTr="00A06621">
        <w:trPr>
          <w:jc w:val="center"/>
        </w:trPr>
        <w:tc>
          <w:tcPr>
            <w:tcW w:w="612" w:type="dxa"/>
            <w:vAlign w:val="center"/>
          </w:tcPr>
          <w:p w:rsidR="00580652" w:rsidRPr="00580652" w:rsidRDefault="00580652" w:rsidP="00580652">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lastRenderedPageBreak/>
              <w:t>序号</w:t>
            </w:r>
          </w:p>
        </w:tc>
        <w:tc>
          <w:tcPr>
            <w:tcW w:w="1080" w:type="dxa"/>
            <w:vAlign w:val="center"/>
          </w:tcPr>
          <w:p w:rsidR="00580652" w:rsidRPr="00580652" w:rsidRDefault="00580652" w:rsidP="00580652">
            <w:pPr>
              <w:pStyle w:val="A40"/>
              <w:spacing w:line="280" w:lineRule="exact"/>
              <w:ind w:firstLineChars="0" w:firstLine="0"/>
              <w:jc w:val="center"/>
              <w:rPr>
                <w:rFonts w:ascii="黑体" w:eastAsia="黑体" w:hAnsi="黑体" w:cs="宋体"/>
                <w:spacing w:val="0"/>
                <w:sz w:val="21"/>
                <w:szCs w:val="21"/>
              </w:rPr>
            </w:pPr>
            <w:r w:rsidRPr="00580652">
              <w:rPr>
                <w:rFonts w:ascii="黑体" w:eastAsia="黑体" w:hAnsi="黑体" w:cs="宋体" w:hint="eastAsia"/>
                <w:sz w:val="21"/>
                <w:szCs w:val="21"/>
              </w:rPr>
              <w:t>原实施部门</w:t>
            </w:r>
          </w:p>
        </w:tc>
        <w:tc>
          <w:tcPr>
            <w:tcW w:w="1989" w:type="dxa"/>
            <w:vAlign w:val="center"/>
          </w:tcPr>
          <w:p w:rsidR="00580652" w:rsidRPr="00580652" w:rsidRDefault="00580652" w:rsidP="00580652">
            <w:pPr>
              <w:pStyle w:val="A40"/>
              <w:spacing w:line="280" w:lineRule="exact"/>
              <w:ind w:firstLineChars="0" w:firstLine="0"/>
              <w:jc w:val="center"/>
              <w:rPr>
                <w:rFonts w:ascii="黑体" w:eastAsia="黑体" w:hAnsi="黑体" w:cs="宋体"/>
                <w:spacing w:val="0"/>
                <w:sz w:val="21"/>
                <w:szCs w:val="21"/>
              </w:rPr>
            </w:pPr>
            <w:r w:rsidRPr="00580652">
              <w:rPr>
                <w:rFonts w:ascii="黑体" w:eastAsia="黑体" w:hAnsi="黑体" w:cs="宋体" w:hint="eastAsia"/>
                <w:sz w:val="21"/>
                <w:szCs w:val="21"/>
              </w:rPr>
              <w:t>事项名称及权限</w:t>
            </w:r>
          </w:p>
        </w:tc>
        <w:tc>
          <w:tcPr>
            <w:tcW w:w="760" w:type="dxa"/>
            <w:vAlign w:val="center"/>
          </w:tcPr>
          <w:p w:rsidR="00580652" w:rsidRPr="00580652" w:rsidRDefault="00580652" w:rsidP="00580652">
            <w:pPr>
              <w:pStyle w:val="A40"/>
              <w:spacing w:line="280" w:lineRule="exact"/>
              <w:ind w:firstLineChars="0" w:firstLine="0"/>
              <w:jc w:val="center"/>
              <w:rPr>
                <w:rFonts w:ascii="黑体" w:eastAsia="黑体" w:hAnsi="黑体" w:cs="宋体"/>
                <w:spacing w:val="0"/>
                <w:sz w:val="21"/>
                <w:szCs w:val="21"/>
              </w:rPr>
            </w:pPr>
            <w:r w:rsidRPr="00580652">
              <w:rPr>
                <w:rFonts w:ascii="黑体" w:eastAsia="黑体" w:hAnsi="黑体" w:cs="宋体" w:hint="eastAsia"/>
                <w:sz w:val="21"/>
                <w:szCs w:val="21"/>
              </w:rPr>
              <w:t>事项类型</w:t>
            </w:r>
          </w:p>
        </w:tc>
        <w:tc>
          <w:tcPr>
            <w:tcW w:w="2955" w:type="dxa"/>
            <w:vAlign w:val="center"/>
          </w:tcPr>
          <w:p w:rsidR="00580652" w:rsidRPr="00580652" w:rsidRDefault="00580652" w:rsidP="00580652">
            <w:pPr>
              <w:pStyle w:val="A40"/>
              <w:spacing w:line="280" w:lineRule="exact"/>
              <w:ind w:firstLineChars="0" w:firstLine="0"/>
              <w:jc w:val="center"/>
              <w:rPr>
                <w:rFonts w:ascii="黑体" w:eastAsia="黑体" w:hAnsi="黑体" w:cs="宋体"/>
                <w:sz w:val="21"/>
                <w:szCs w:val="21"/>
                <w:lang w:bidi="zh-TW"/>
              </w:rPr>
            </w:pPr>
            <w:r w:rsidRPr="00580652">
              <w:rPr>
                <w:rFonts w:ascii="黑体" w:eastAsia="黑体" w:hAnsi="黑体" w:cs="宋体" w:hint="eastAsia"/>
                <w:sz w:val="21"/>
                <w:szCs w:val="21"/>
              </w:rPr>
              <w:t>调整意见</w:t>
            </w:r>
          </w:p>
        </w:tc>
        <w:tc>
          <w:tcPr>
            <w:tcW w:w="6794" w:type="dxa"/>
            <w:vAlign w:val="center"/>
          </w:tcPr>
          <w:p w:rsidR="00580652" w:rsidRPr="00580652" w:rsidRDefault="00580652" w:rsidP="00580652">
            <w:pPr>
              <w:pStyle w:val="A40"/>
              <w:spacing w:line="280" w:lineRule="exact"/>
              <w:ind w:firstLineChars="0" w:firstLine="0"/>
              <w:jc w:val="center"/>
              <w:rPr>
                <w:rFonts w:ascii="黑体" w:eastAsia="黑体" w:hAnsi="黑体" w:cs="宋体"/>
                <w:sz w:val="21"/>
                <w:szCs w:val="21"/>
              </w:rPr>
            </w:pPr>
            <w:r w:rsidRPr="00580652">
              <w:rPr>
                <w:rFonts w:ascii="黑体" w:eastAsia="黑体" w:hAnsi="黑体" w:cs="宋体" w:hint="eastAsia"/>
                <w:sz w:val="21"/>
                <w:szCs w:val="21"/>
              </w:rPr>
              <w:t>加强事中事后监管措施</w:t>
            </w:r>
          </w:p>
        </w:tc>
      </w:tr>
      <w:tr w:rsidR="00580652" w:rsidTr="00A976A5">
        <w:trPr>
          <w:trHeight w:val="1833"/>
          <w:jc w:val="center"/>
        </w:trPr>
        <w:tc>
          <w:tcPr>
            <w:tcW w:w="612" w:type="dxa"/>
            <w:vAlign w:val="center"/>
          </w:tcPr>
          <w:p w:rsidR="00580652" w:rsidRDefault="00580652" w:rsidP="00580652">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18</w:t>
            </w:r>
          </w:p>
        </w:tc>
        <w:tc>
          <w:tcPr>
            <w:tcW w:w="1080" w:type="dxa"/>
            <w:vAlign w:val="center"/>
          </w:tcPr>
          <w:p w:rsidR="00580652" w:rsidRPr="00B30E33" w:rsidRDefault="00BF6AE5" w:rsidP="00B30E33">
            <w:pPr>
              <w:pStyle w:val="Other1"/>
              <w:spacing w:line="240" w:lineRule="exact"/>
              <w:ind w:firstLine="0"/>
              <w:jc w:val="left"/>
              <w:rPr>
                <w:sz w:val="21"/>
                <w:szCs w:val="21"/>
                <w:lang w:eastAsia="zh-CN"/>
              </w:rPr>
            </w:pPr>
            <w:r w:rsidRPr="00B30E33">
              <w:rPr>
                <w:rFonts w:hint="eastAsia"/>
                <w:sz w:val="21"/>
                <w:szCs w:val="21"/>
                <w:lang w:eastAsia="zh-CN"/>
              </w:rPr>
              <w:t>农业</w:t>
            </w:r>
            <w:r w:rsidRPr="00B30E33">
              <w:rPr>
                <w:sz w:val="21"/>
                <w:szCs w:val="21"/>
                <w:lang w:eastAsia="zh-CN"/>
              </w:rPr>
              <w:t>农村与</w:t>
            </w:r>
            <w:r w:rsidRPr="00B30E33">
              <w:rPr>
                <w:rFonts w:hint="eastAsia"/>
                <w:sz w:val="21"/>
                <w:szCs w:val="21"/>
                <w:lang w:eastAsia="zh-CN"/>
              </w:rPr>
              <w:t>民政</w:t>
            </w:r>
            <w:r w:rsidRPr="00B30E33">
              <w:rPr>
                <w:sz w:val="21"/>
                <w:szCs w:val="21"/>
                <w:lang w:eastAsia="zh-CN"/>
              </w:rPr>
              <w:t>事业中心</w:t>
            </w:r>
          </w:p>
        </w:tc>
        <w:tc>
          <w:tcPr>
            <w:tcW w:w="1989" w:type="dxa"/>
            <w:vAlign w:val="center"/>
          </w:tcPr>
          <w:p w:rsidR="00580652" w:rsidRDefault="00580652" w:rsidP="00580652">
            <w:pPr>
              <w:pStyle w:val="Other1"/>
              <w:spacing w:line="280" w:lineRule="exact"/>
              <w:ind w:firstLine="0"/>
              <w:rPr>
                <w:sz w:val="21"/>
                <w:szCs w:val="21"/>
                <w:lang w:val="en-US" w:eastAsia="zh-CN"/>
              </w:rPr>
            </w:pPr>
            <w:r>
              <w:rPr>
                <w:rFonts w:hint="eastAsia"/>
                <w:sz w:val="21"/>
                <w:szCs w:val="21"/>
              </w:rPr>
              <w:t>对生猪定点屠宰厂 （场）或者小型生猪屠宰场点拒绝为生猪饲养户提供屠宰服务的处罚</w:t>
            </w:r>
          </w:p>
        </w:tc>
        <w:tc>
          <w:tcPr>
            <w:tcW w:w="760" w:type="dxa"/>
            <w:vAlign w:val="center"/>
          </w:tcPr>
          <w:p w:rsidR="00580652" w:rsidRDefault="00580652" w:rsidP="00580652">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580652" w:rsidRDefault="00580652" w:rsidP="00580652">
            <w:pPr>
              <w:widowControl/>
              <w:spacing w:line="340" w:lineRule="exact"/>
              <w:jc w:val="center"/>
              <w:rPr>
                <w:rFonts w:ascii="宋体" w:eastAsia="宋体" w:hAnsi="宋体" w:cs="宋体"/>
                <w:szCs w:val="21"/>
              </w:rPr>
            </w:pPr>
            <w:r>
              <w:rPr>
                <w:rFonts w:ascii="宋体" w:eastAsia="宋体" w:hAnsi="宋体" w:cs="宋体" w:hint="eastAsia"/>
                <w:szCs w:val="21"/>
                <w:lang w:bidi="zh-TW"/>
              </w:rPr>
              <w:t>取消</w:t>
            </w:r>
          </w:p>
        </w:tc>
        <w:tc>
          <w:tcPr>
            <w:tcW w:w="6794" w:type="dxa"/>
            <w:vAlign w:val="center"/>
          </w:tcPr>
          <w:p w:rsidR="00580652" w:rsidRDefault="00580652" w:rsidP="00580652">
            <w:pPr>
              <w:spacing w:line="340" w:lineRule="exact"/>
              <w:rPr>
                <w:rFonts w:ascii="宋体" w:eastAsia="宋体" w:hAnsi="宋体" w:cs="宋体"/>
                <w:szCs w:val="21"/>
              </w:rPr>
            </w:pPr>
          </w:p>
        </w:tc>
      </w:tr>
      <w:tr w:rsidR="00580652" w:rsidTr="00A976A5">
        <w:trPr>
          <w:trHeight w:val="1554"/>
          <w:jc w:val="center"/>
        </w:trPr>
        <w:tc>
          <w:tcPr>
            <w:tcW w:w="612" w:type="dxa"/>
            <w:vAlign w:val="center"/>
          </w:tcPr>
          <w:p w:rsidR="00580652" w:rsidRDefault="00580652" w:rsidP="00580652">
            <w:pPr>
              <w:pStyle w:val="A40"/>
              <w:spacing w:line="340" w:lineRule="exact"/>
              <w:ind w:firstLineChars="0" w:firstLine="0"/>
              <w:jc w:val="center"/>
              <w:rPr>
                <w:rFonts w:ascii="宋体" w:eastAsia="宋体" w:hAnsi="宋体" w:cs="宋体"/>
                <w:sz w:val="21"/>
                <w:szCs w:val="21"/>
              </w:rPr>
            </w:pPr>
            <w:r>
              <w:rPr>
                <w:rFonts w:ascii="宋体" w:eastAsia="宋体" w:hAnsi="宋体" w:cs="宋体"/>
                <w:sz w:val="21"/>
                <w:szCs w:val="21"/>
              </w:rPr>
              <w:t>19</w:t>
            </w:r>
          </w:p>
        </w:tc>
        <w:tc>
          <w:tcPr>
            <w:tcW w:w="1080" w:type="dxa"/>
            <w:vAlign w:val="center"/>
          </w:tcPr>
          <w:p w:rsidR="00580652" w:rsidRPr="00B30E33" w:rsidRDefault="00BF6AE5" w:rsidP="00B30E33">
            <w:pPr>
              <w:pStyle w:val="Other1"/>
              <w:spacing w:line="240" w:lineRule="exact"/>
              <w:ind w:firstLine="0"/>
              <w:jc w:val="left"/>
              <w:rPr>
                <w:sz w:val="21"/>
                <w:szCs w:val="21"/>
                <w:lang w:eastAsia="zh-CN"/>
              </w:rPr>
            </w:pPr>
            <w:r w:rsidRPr="00B30E33">
              <w:rPr>
                <w:rFonts w:hint="eastAsia"/>
                <w:sz w:val="21"/>
                <w:szCs w:val="21"/>
                <w:lang w:eastAsia="zh-CN"/>
              </w:rPr>
              <w:t>农业</w:t>
            </w:r>
            <w:r w:rsidRPr="00B30E33">
              <w:rPr>
                <w:sz w:val="21"/>
                <w:szCs w:val="21"/>
                <w:lang w:eastAsia="zh-CN"/>
              </w:rPr>
              <w:t>农村与</w:t>
            </w:r>
            <w:r w:rsidRPr="00B30E33">
              <w:rPr>
                <w:rFonts w:hint="eastAsia"/>
                <w:sz w:val="21"/>
                <w:szCs w:val="21"/>
                <w:lang w:eastAsia="zh-CN"/>
              </w:rPr>
              <w:t>民政</w:t>
            </w:r>
            <w:r w:rsidRPr="00B30E33">
              <w:rPr>
                <w:sz w:val="21"/>
                <w:szCs w:val="21"/>
                <w:lang w:eastAsia="zh-CN"/>
              </w:rPr>
              <w:t>事业中心</w:t>
            </w:r>
          </w:p>
        </w:tc>
        <w:tc>
          <w:tcPr>
            <w:tcW w:w="1989" w:type="dxa"/>
            <w:vAlign w:val="center"/>
          </w:tcPr>
          <w:p w:rsidR="00580652" w:rsidRDefault="00580652" w:rsidP="00580652">
            <w:pPr>
              <w:pStyle w:val="Other1"/>
              <w:spacing w:line="280" w:lineRule="exact"/>
              <w:ind w:firstLine="0"/>
              <w:rPr>
                <w:sz w:val="21"/>
                <w:szCs w:val="21"/>
                <w:lang w:val="en-US" w:eastAsia="zh-CN"/>
              </w:rPr>
            </w:pPr>
            <w:r>
              <w:rPr>
                <w:rFonts w:hint="eastAsia"/>
                <w:sz w:val="21"/>
                <w:szCs w:val="21"/>
              </w:rPr>
              <w:t>对生猪定点屠宰厂 （场）未按规定建立质量追溯制度的处罚</w:t>
            </w:r>
          </w:p>
        </w:tc>
        <w:tc>
          <w:tcPr>
            <w:tcW w:w="760" w:type="dxa"/>
            <w:vAlign w:val="center"/>
          </w:tcPr>
          <w:p w:rsidR="00580652" w:rsidRDefault="00580652" w:rsidP="00580652">
            <w:pPr>
              <w:pStyle w:val="Other1"/>
              <w:spacing w:line="280" w:lineRule="exact"/>
              <w:ind w:firstLine="0"/>
              <w:jc w:val="center"/>
              <w:rPr>
                <w:sz w:val="21"/>
                <w:szCs w:val="21"/>
                <w:lang w:val="en-US" w:eastAsia="zh-CN"/>
              </w:rPr>
            </w:pPr>
            <w:r>
              <w:rPr>
                <w:rFonts w:hint="eastAsia"/>
                <w:sz w:val="21"/>
                <w:szCs w:val="21"/>
              </w:rPr>
              <w:t>行政处罚</w:t>
            </w:r>
          </w:p>
        </w:tc>
        <w:tc>
          <w:tcPr>
            <w:tcW w:w="2955" w:type="dxa"/>
            <w:vAlign w:val="center"/>
          </w:tcPr>
          <w:p w:rsidR="00580652" w:rsidRDefault="00580652" w:rsidP="00580652">
            <w:pPr>
              <w:widowControl/>
              <w:spacing w:line="340" w:lineRule="exact"/>
              <w:jc w:val="center"/>
              <w:rPr>
                <w:rFonts w:ascii="宋体" w:eastAsia="宋体" w:hAnsi="宋体" w:cs="宋体"/>
                <w:szCs w:val="21"/>
              </w:rPr>
            </w:pPr>
            <w:r>
              <w:rPr>
                <w:rFonts w:ascii="宋体" w:eastAsia="宋体" w:hAnsi="宋体" w:cs="宋体" w:hint="eastAsia"/>
                <w:szCs w:val="21"/>
                <w:lang w:bidi="zh-TW"/>
              </w:rPr>
              <w:t>取消</w:t>
            </w:r>
          </w:p>
        </w:tc>
        <w:tc>
          <w:tcPr>
            <w:tcW w:w="6794" w:type="dxa"/>
            <w:vAlign w:val="center"/>
          </w:tcPr>
          <w:p w:rsidR="00580652" w:rsidRDefault="00580652" w:rsidP="00580652">
            <w:pPr>
              <w:spacing w:line="340" w:lineRule="exact"/>
              <w:rPr>
                <w:rFonts w:ascii="宋体" w:eastAsia="宋体" w:hAnsi="宋体" w:cs="宋体"/>
                <w:szCs w:val="21"/>
              </w:rPr>
            </w:pPr>
          </w:p>
        </w:tc>
      </w:tr>
    </w:tbl>
    <w:p w:rsidR="00B000B0" w:rsidRPr="00585064" w:rsidRDefault="00B000B0" w:rsidP="00757E2D">
      <w:pPr>
        <w:pStyle w:val="A40"/>
        <w:spacing w:line="600" w:lineRule="exact"/>
        <w:ind w:firstLineChars="0" w:firstLine="0"/>
        <w:jc w:val="center"/>
      </w:pPr>
    </w:p>
    <w:sectPr w:rsidR="00B000B0" w:rsidRPr="00585064" w:rsidSect="00585064">
      <w:pgSz w:w="16838" w:h="11906" w:orient="landscape"/>
      <w:pgMar w:top="1588" w:right="2155" w:bottom="1474" w:left="1701" w:header="851" w:footer="1418" w:gutter="0"/>
      <w:pgNumType w:fmt="numberInDash"/>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FE" w:rsidRDefault="00112FFE">
      <w:r>
        <w:separator/>
      </w:r>
    </w:p>
  </w:endnote>
  <w:endnote w:type="continuationSeparator" w:id="0">
    <w:p w:rsidR="00112FFE" w:rsidRDefault="0011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7A" w:rsidRDefault="005B6B3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707A" w:rsidRDefault="005B6B3C">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30B3A">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707A" w:rsidRDefault="005B6B3C">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30B3A">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FE" w:rsidRDefault="00112FFE">
      <w:r>
        <w:separator/>
      </w:r>
    </w:p>
  </w:footnote>
  <w:footnote w:type="continuationSeparator" w:id="0">
    <w:p w:rsidR="00112FFE" w:rsidRDefault="00112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E3A4CA"/>
    <w:multiLevelType w:val="singleLevel"/>
    <w:tmpl w:val="92E3A4C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F9"/>
    <w:rsid w:val="00044126"/>
    <w:rsid w:val="000519A7"/>
    <w:rsid w:val="00067FEB"/>
    <w:rsid w:val="00087DF8"/>
    <w:rsid w:val="000B23B3"/>
    <w:rsid w:val="00112FFE"/>
    <w:rsid w:val="0013414C"/>
    <w:rsid w:val="00142C63"/>
    <w:rsid w:val="00173597"/>
    <w:rsid w:val="0017490B"/>
    <w:rsid w:val="001B5AA9"/>
    <w:rsid w:val="0020610E"/>
    <w:rsid w:val="00253A60"/>
    <w:rsid w:val="00277A75"/>
    <w:rsid w:val="002A5235"/>
    <w:rsid w:val="002D130E"/>
    <w:rsid w:val="002D7449"/>
    <w:rsid w:val="002E067B"/>
    <w:rsid w:val="003940B1"/>
    <w:rsid w:val="003B0D0D"/>
    <w:rsid w:val="003B4529"/>
    <w:rsid w:val="003D0181"/>
    <w:rsid w:val="0040501C"/>
    <w:rsid w:val="004445E8"/>
    <w:rsid w:val="004B6622"/>
    <w:rsid w:val="004B707A"/>
    <w:rsid w:val="004F3E68"/>
    <w:rsid w:val="00580652"/>
    <w:rsid w:val="00585064"/>
    <w:rsid w:val="005B6B3C"/>
    <w:rsid w:val="00603E8B"/>
    <w:rsid w:val="00637996"/>
    <w:rsid w:val="006C0A0B"/>
    <w:rsid w:val="006C1D6C"/>
    <w:rsid w:val="00703153"/>
    <w:rsid w:val="00755D1E"/>
    <w:rsid w:val="00757E2D"/>
    <w:rsid w:val="007B1C0A"/>
    <w:rsid w:val="007B2B86"/>
    <w:rsid w:val="00831298"/>
    <w:rsid w:val="00857422"/>
    <w:rsid w:val="00871506"/>
    <w:rsid w:val="008850E8"/>
    <w:rsid w:val="008D3FFE"/>
    <w:rsid w:val="008F790F"/>
    <w:rsid w:val="009351B1"/>
    <w:rsid w:val="009830AB"/>
    <w:rsid w:val="00987FBD"/>
    <w:rsid w:val="009D4210"/>
    <w:rsid w:val="00A06621"/>
    <w:rsid w:val="00A30B3A"/>
    <w:rsid w:val="00A86A03"/>
    <w:rsid w:val="00A976A5"/>
    <w:rsid w:val="00B000B0"/>
    <w:rsid w:val="00B013B7"/>
    <w:rsid w:val="00B30E33"/>
    <w:rsid w:val="00B9296B"/>
    <w:rsid w:val="00BA723B"/>
    <w:rsid w:val="00BF6AE5"/>
    <w:rsid w:val="00C07FDF"/>
    <w:rsid w:val="00C17717"/>
    <w:rsid w:val="00C5705D"/>
    <w:rsid w:val="00C8391E"/>
    <w:rsid w:val="00C93397"/>
    <w:rsid w:val="00CA553D"/>
    <w:rsid w:val="00CD3F5F"/>
    <w:rsid w:val="00CE576C"/>
    <w:rsid w:val="00D233F9"/>
    <w:rsid w:val="00D83541"/>
    <w:rsid w:val="00DA0DCD"/>
    <w:rsid w:val="00E226BD"/>
    <w:rsid w:val="00E35A06"/>
    <w:rsid w:val="00E8647A"/>
    <w:rsid w:val="00F36918"/>
    <w:rsid w:val="00F429D0"/>
    <w:rsid w:val="015429BF"/>
    <w:rsid w:val="01AD11A5"/>
    <w:rsid w:val="06D35345"/>
    <w:rsid w:val="0FFE4C0B"/>
    <w:rsid w:val="1B8E6F8A"/>
    <w:rsid w:val="4D546FEA"/>
    <w:rsid w:val="52BB6025"/>
    <w:rsid w:val="5DE865CE"/>
    <w:rsid w:val="5FA438BE"/>
    <w:rsid w:val="706721F2"/>
    <w:rsid w:val="7745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4D220F-3358-4CCD-B185-47C18317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uiPriority w:val="99"/>
    <w:qFormat/>
    <w:pPr>
      <w:ind w:firstLine="560"/>
    </w:pPr>
    <w:rPr>
      <w:rFonts w:eastAsia="仿宋_GB2312" w:cs="宋体"/>
      <w:sz w:val="24"/>
      <w:szCs w:val="20"/>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paragraph" w:customStyle="1" w:styleId="CharCharCharChar1CharCharCharCharCharCharCharCharCharCharCharCharCharCharCharCharChar">
    <w:name w:val="Char Char Char Char1 Char Char Char Char Char Char Char Char Char Char Char Char Char Char Char Char Char"/>
    <w:basedOn w:val="a"/>
    <w:pPr>
      <w:widowControl/>
      <w:spacing w:after="160" w:line="240" w:lineRule="exact"/>
      <w:ind w:firstLineChars="350" w:firstLine="980"/>
      <w:jc w:val="left"/>
    </w:pPr>
    <w:rPr>
      <w:rFonts w:ascii="Times New Roman" w:eastAsia="仿宋_GB2312" w:hAnsi="Times New Roman" w:cs="Times New Roman"/>
      <w:snapToGrid w:val="0"/>
      <w:kern w:val="0"/>
      <w:sz w:val="32"/>
      <w:szCs w:val="24"/>
    </w:rPr>
  </w:style>
  <w:style w:type="paragraph" w:customStyle="1" w:styleId="A40">
    <w:name w:val="新A4正文"/>
    <w:basedOn w:val="a"/>
    <w:link w:val="A4Char"/>
    <w:qFormat/>
    <w:pPr>
      <w:ind w:firstLineChars="133" w:firstLine="698"/>
    </w:pPr>
    <w:rPr>
      <w:rFonts w:ascii="Times New Roman" w:eastAsia="仿宋_GB2312" w:hAnsi="Times New Roman" w:cs="Times New Roman"/>
      <w:snapToGrid w:val="0"/>
      <w:spacing w:val="12"/>
      <w:kern w:val="0"/>
      <w:sz w:val="32"/>
      <w:szCs w:val="32"/>
    </w:rPr>
  </w:style>
  <w:style w:type="character" w:customStyle="1" w:styleId="A4Char">
    <w:name w:val="新A4正文 Char"/>
    <w:basedOn w:val="a0"/>
    <w:link w:val="A40"/>
    <w:qFormat/>
    <w:rPr>
      <w:rFonts w:ascii="Times New Roman" w:eastAsia="仿宋_GB2312" w:hAnsi="Times New Roman" w:cs="Times New Roman"/>
      <w:snapToGrid w:val="0"/>
      <w:spacing w:val="12"/>
      <w:kern w:val="0"/>
      <w:sz w:val="32"/>
      <w:szCs w:val="32"/>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styleId="a8">
    <w:name w:val="page number"/>
    <w:basedOn w:val="a0"/>
    <w:rsid w:val="00B000B0"/>
    <w:rPr>
      <w:rFonts w:ascii="Verdana" w:eastAsia="仿宋_GB2312" w:hAnsi="Verdana"/>
      <w:kern w:val="0"/>
      <w:sz w:val="24"/>
      <w:szCs w:val="20"/>
      <w:lang w:eastAsia="en-US"/>
    </w:rPr>
  </w:style>
  <w:style w:type="paragraph" w:customStyle="1" w:styleId="CharChar1CharCharCharCharCharChar">
    <w:name w:val="Char Char1 Char Char Char Char Char Char"/>
    <w:basedOn w:val="a"/>
    <w:qFormat/>
    <w:rsid w:val="00B000B0"/>
    <w:pPr>
      <w:widowControl/>
      <w:spacing w:after="160" w:line="240" w:lineRule="exact"/>
      <w:jc w:val="left"/>
    </w:pPr>
    <w:rPr>
      <w:rFonts w:ascii="Verdana" w:eastAsia="仿宋_GB2312" w:hAnsi="Verdana" w:cs="Times New Roman"/>
      <w:snapToGrid w:val="0"/>
      <w:kern w:val="0"/>
      <w:sz w:val="24"/>
      <w:szCs w:val="20"/>
      <w:lang w:eastAsia="en-US"/>
    </w:rPr>
  </w:style>
  <w:style w:type="paragraph" w:customStyle="1" w:styleId="Other1">
    <w:name w:val="Other|1"/>
    <w:basedOn w:val="a"/>
    <w:rsid w:val="00585064"/>
    <w:pPr>
      <w:spacing w:line="444" w:lineRule="auto"/>
      <w:ind w:firstLine="400"/>
    </w:pPr>
    <w:rPr>
      <w:rFonts w:ascii="宋体" w:eastAsia="宋体" w:hAnsi="宋体" w:cs="宋体"/>
      <w:snapToGrid w:val="0"/>
      <w:kern w:val="0"/>
      <w:sz w:val="28"/>
      <w:szCs w:val="28"/>
      <w:lang w:val="zh-TW" w:eastAsia="zh-TW" w:bidi="zh-TW"/>
    </w:rPr>
  </w:style>
  <w:style w:type="character" w:styleId="a9">
    <w:name w:val="Hyperlink"/>
    <w:rsid w:val="00A066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gxqbgsggb@zb.shandon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35</cp:revision>
  <cp:lastPrinted>2021-03-19T03:18:00Z</cp:lastPrinted>
  <dcterms:created xsi:type="dcterms:W3CDTF">2021-02-22T06:39:00Z</dcterms:created>
  <dcterms:modified xsi:type="dcterms:W3CDTF">2021-03-19T07:09:00Z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