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bookmarkStart w:id="0" w:name="_GoBack"/>
      <w:r>
        <w:rPr>
          <w:rStyle w:val="5"/>
          <w:rFonts w:ascii="微软雅黑" w:hAnsi="微软雅黑" w:eastAsia="微软雅黑" w:cs="微软雅黑"/>
          <w:sz w:val="36"/>
          <w:szCs w:val="36"/>
        </w:rPr>
        <w:t>淄博高端装备及现代服务业产业园管理中心2023年政府信息公开工作年度报告</w:t>
      </w:r>
      <w:bookmarkEnd w:id="0"/>
    </w:p>
    <w:p>
      <w:pPr>
        <w:pStyle w:val="2"/>
        <w:keepNext w:val="0"/>
        <w:keepLines w:val="0"/>
        <w:widowControl/>
        <w:suppressLineNumbers w:val="0"/>
      </w:pPr>
      <w:r>
        <w:t> </w:t>
      </w:r>
    </w:p>
    <w:p>
      <w:pPr>
        <w:pStyle w:val="2"/>
        <w:keepNext w:val="0"/>
        <w:keepLines w:val="0"/>
        <w:widowControl/>
        <w:suppressLineNumbers w:val="0"/>
        <w:spacing w:line="26" w:lineRule="atLeast"/>
        <w:ind w:left="0" w:firstLine="420"/>
        <w:jc w:val="left"/>
      </w:pPr>
      <w:r>
        <w:rPr>
          <w:rFonts w:hint="eastAsia" w:ascii="微软雅黑" w:hAnsi="微软雅黑" w:eastAsia="微软雅黑" w:cs="微软雅黑"/>
          <w:caps w:val="0"/>
          <w:color w:val="000000"/>
          <w:spacing w:val="0"/>
          <w:sz w:val="24"/>
          <w:szCs w:val="24"/>
          <w:shd w:val="clear" w:fill="FFFFFF"/>
        </w:rPr>
        <w:t>本年度报告根据《中华人民共和国政府信息公开条例》和《国务院办公厅政府信息与政务公开办公室关于印发&lt;中华人民共和国政府信息公开工作年度报告格式&gt;的通知》（国办公开办函〔2021〕30号）相关要求编制。本报告中所列数据的统计期限自2023年1月1日起，至2023年12月31日止。本报告可在淄博高新区门户网站（https://www.zibo.gov.cn/）下载。</w:t>
      </w:r>
      <w:r>
        <w:rPr>
          <w:rFonts w:hint="eastAsia" w:ascii="微软雅黑" w:hAnsi="微软雅黑" w:eastAsia="微软雅黑" w:cs="微软雅黑"/>
          <w:caps w:val="0"/>
          <w:color w:val="000000"/>
          <w:spacing w:val="0"/>
          <w:sz w:val="24"/>
          <w:szCs w:val="24"/>
        </w:rPr>
        <w:t>如对报告内容有疑问，</w:t>
      </w:r>
      <w:r>
        <w:rPr>
          <w:rFonts w:hint="eastAsia" w:ascii="微软雅黑" w:hAnsi="微软雅黑" w:eastAsia="微软雅黑" w:cs="微软雅黑"/>
          <w:color w:val="000000"/>
          <w:sz w:val="24"/>
          <w:szCs w:val="24"/>
        </w:rPr>
        <w:t>请与淄博高端装备中心办公室联系（地址：淄博市高新区古侯路4317号217 室；邮编：255035；电话：0533-8100167；邮箱：zbgdzbzx@zb.shandong.cn）。</w:t>
      </w:r>
    </w:p>
    <w:p>
      <w:pPr>
        <w:pStyle w:val="2"/>
        <w:keepNext w:val="0"/>
        <w:keepLines w:val="0"/>
        <w:widowControl/>
        <w:suppressLineNumbers w:val="0"/>
        <w:spacing w:line="26" w:lineRule="atLeast"/>
        <w:ind w:left="0" w:firstLine="0"/>
        <w:jc w:val="left"/>
      </w:pPr>
      <w:r>
        <w:rPr>
          <w:rStyle w:val="5"/>
          <w:rFonts w:hint="eastAsia" w:ascii="微软雅黑" w:hAnsi="微软雅黑" w:eastAsia="微软雅黑" w:cs="微软雅黑"/>
          <w:color w:val="000000"/>
          <w:sz w:val="24"/>
          <w:szCs w:val="24"/>
        </w:rPr>
        <w:t>        一、总体情况</w:t>
      </w:r>
    </w:p>
    <w:p>
      <w:pPr>
        <w:pStyle w:val="2"/>
        <w:keepNext w:val="0"/>
        <w:keepLines w:val="0"/>
        <w:widowControl/>
        <w:suppressLineNumbers w:val="0"/>
        <w:spacing w:line="26" w:lineRule="atLeast"/>
        <w:ind w:left="0" w:firstLine="0"/>
        <w:jc w:val="left"/>
      </w:pPr>
      <w:r>
        <w:rPr>
          <w:rStyle w:val="5"/>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rPr>
        <w:t>  2023年淄博高端装备中心全面贯彻落实党的二十大精神，深入贯彻落实“三提三争”活动精神，建立健全政务公开工作机制。强化公开透明，重点公布决算、政策法规、重大决策等内容，推动政务公开与民生需求对接。加强政务公开平台和互动管理平台建设，提升信息公开效率，鼓励民众参与监督，助力基层治理创新和村居稳定发展。 </w:t>
      </w:r>
    </w:p>
    <w:p>
      <w:pPr>
        <w:pStyle w:val="2"/>
        <w:keepNext w:val="0"/>
        <w:keepLines w:val="0"/>
        <w:widowControl/>
        <w:suppressLineNumbers w:val="0"/>
        <w:spacing w:line="26" w:lineRule="atLeast"/>
        <w:ind w:left="0" w:firstLine="420"/>
        <w:jc w:val="left"/>
      </w:pPr>
      <w:r>
        <w:rPr>
          <w:rFonts w:hint="eastAsia" w:ascii="微软雅黑" w:hAnsi="微软雅黑" w:eastAsia="微软雅黑" w:cs="微软雅黑"/>
          <w:color w:val="000000"/>
          <w:sz w:val="24"/>
          <w:szCs w:val="24"/>
        </w:rPr>
        <w:t>1. 主动公开方面</w:t>
      </w:r>
    </w:p>
    <w:p>
      <w:pPr>
        <w:pStyle w:val="2"/>
        <w:keepNext w:val="0"/>
        <w:keepLines w:val="0"/>
        <w:widowControl/>
        <w:suppressLineNumbers w:val="0"/>
        <w:spacing w:line="26" w:lineRule="atLeast"/>
        <w:ind w:left="0" w:right="0" w:firstLine="480"/>
        <w:jc w:val="left"/>
      </w:pPr>
      <w:r>
        <w:rPr>
          <w:rFonts w:hint="eastAsia" w:ascii="微软雅黑" w:hAnsi="微软雅黑" w:eastAsia="微软雅黑" w:cs="微软雅黑"/>
          <w:color w:val="000000"/>
          <w:sz w:val="24"/>
          <w:szCs w:val="24"/>
        </w:rPr>
        <w:t>2023年，淄博高端装备中心主要通过市政府政务公开在行动、高新区网站政务公开基本目录、融公开工作台等渠道主动公开。在认真抓好信息审查审核的基础上，做到应公开尽公开。全年共发布主动公开信息168条。其中机构职能类1条，法规文件类1条，政府会议类37条，防范化解重大风险类10条，污染防治类6条，社会公益类88条，其中按季度公开社会救助信息4件，信息公开指南类1条，信息公开年度报告类1条，主动公开基本目录类18条，财政预决算类2条。</w:t>
      </w:r>
    </w:p>
    <w:p>
      <w:pPr>
        <w:pStyle w:val="2"/>
        <w:keepNext w:val="0"/>
        <w:keepLines w:val="0"/>
        <w:widowControl/>
        <w:suppressLineNumbers w:val="0"/>
        <w:spacing w:line="26" w:lineRule="atLeast"/>
        <w:ind w:left="0" w:right="0" w:firstLine="480"/>
        <w:jc w:val="left"/>
      </w:pPr>
      <w:r>
        <w:rPr>
          <w:rFonts w:hint="eastAsia" w:ascii="微软雅黑" w:hAnsi="微软雅黑" w:eastAsia="微软雅黑" w:cs="微软雅黑"/>
          <w:color w:val="000000"/>
          <w:sz w:val="24"/>
          <w:szCs w:val="24"/>
        </w:rPr>
        <w:t>2.依申请公开工作方面</w:t>
      </w:r>
    </w:p>
    <w:p>
      <w:pPr>
        <w:pStyle w:val="2"/>
        <w:keepNext w:val="0"/>
        <w:keepLines w:val="0"/>
        <w:widowControl/>
        <w:suppressLineNumbers w:val="0"/>
        <w:spacing w:line="26" w:lineRule="atLeast"/>
        <w:ind w:left="0" w:right="0" w:firstLine="480"/>
        <w:jc w:val="left"/>
      </w:pPr>
      <w:r>
        <w:rPr>
          <w:rFonts w:hint="eastAsia" w:ascii="微软雅黑" w:hAnsi="微软雅黑" w:eastAsia="微软雅黑" w:cs="微软雅黑"/>
          <w:color w:val="000000"/>
          <w:sz w:val="24"/>
          <w:szCs w:val="24"/>
        </w:rPr>
        <w:t>2023年，淄博高端装备中心积极完善依申请受理机制，畅通受理渠道，明确申请方式、申请条件和答复分类。淄博高端装备中心本年度收到政府信息公开申请1件，全部依法依规予以办理。因依申请公开引发的行政复议案件1件，该案件已按照法定程序进行了办理，较好保障了群众获取政府信息的权利。</w:t>
      </w:r>
    </w:p>
    <w:p>
      <w:pPr>
        <w:pStyle w:val="2"/>
        <w:keepNext w:val="0"/>
        <w:keepLines w:val="0"/>
        <w:widowControl/>
        <w:suppressLineNumbers w:val="0"/>
        <w:spacing w:line="26" w:lineRule="atLeast"/>
        <w:ind w:left="0" w:right="0" w:firstLine="480"/>
        <w:jc w:val="left"/>
      </w:pPr>
      <w:r>
        <w:rPr>
          <w:rFonts w:hint="eastAsia" w:ascii="微软雅黑" w:hAnsi="微软雅黑" w:eastAsia="微软雅黑" w:cs="微软雅黑"/>
          <w:color w:val="000000"/>
          <w:sz w:val="24"/>
          <w:szCs w:val="24"/>
        </w:rPr>
        <w:t>3.政府信息管理方面</w:t>
      </w:r>
    </w:p>
    <w:p>
      <w:pPr>
        <w:pStyle w:val="2"/>
        <w:keepNext w:val="0"/>
        <w:keepLines w:val="0"/>
        <w:widowControl/>
        <w:suppressLineNumbers w:val="0"/>
        <w:spacing w:line="26" w:lineRule="atLeast"/>
        <w:ind w:left="0" w:right="0" w:firstLine="480"/>
        <w:jc w:val="left"/>
      </w:pPr>
      <w:r>
        <w:rPr>
          <w:rFonts w:hint="eastAsia" w:ascii="微软雅黑" w:hAnsi="微软雅黑" w:eastAsia="微软雅黑" w:cs="微软雅黑"/>
          <w:color w:val="000000"/>
          <w:sz w:val="24"/>
          <w:szCs w:val="24"/>
        </w:rPr>
        <w:t>动态更新政府信息主动公开目录，明确全年重点工作和责任分工；完善政府信息公开源头认定机制；对拟公开的政府信息依法依规做好保密审查，切实做到“涉密信息不上网、上网信息不涉密”；对本单位制发的规范性文件动态监测有效性，及时清理过期文件。淄博高端装备中心全面落实政府信息制作和审查发布流程，加强政务公开信息的审核、涉密管理，有效保障群众合法权益。</w:t>
      </w:r>
    </w:p>
    <w:p>
      <w:pPr>
        <w:pStyle w:val="2"/>
        <w:keepNext w:val="0"/>
        <w:keepLines w:val="0"/>
        <w:widowControl/>
        <w:suppressLineNumbers w:val="0"/>
        <w:spacing w:line="26" w:lineRule="atLeast"/>
        <w:ind w:left="0" w:right="0" w:firstLine="480"/>
        <w:jc w:val="left"/>
      </w:pPr>
      <w:r>
        <w:rPr>
          <w:rFonts w:hint="eastAsia" w:ascii="微软雅黑" w:hAnsi="微软雅黑" w:eastAsia="微软雅黑" w:cs="微软雅黑"/>
          <w:color w:val="000000"/>
          <w:sz w:val="24"/>
          <w:szCs w:val="24"/>
        </w:rPr>
        <w:t>4.平台建设方面</w:t>
      </w:r>
    </w:p>
    <w:p>
      <w:pPr>
        <w:pStyle w:val="2"/>
        <w:keepNext w:val="0"/>
        <w:keepLines w:val="0"/>
        <w:widowControl/>
        <w:suppressLineNumbers w:val="0"/>
        <w:spacing w:line="26" w:lineRule="atLeast"/>
        <w:ind w:left="0" w:right="0" w:firstLine="480"/>
        <w:jc w:val="left"/>
      </w:pPr>
      <w:r>
        <w:rPr>
          <w:rFonts w:hint="eastAsia" w:ascii="微软雅黑" w:hAnsi="微软雅黑" w:eastAsia="微软雅黑" w:cs="微软雅黑"/>
          <w:color w:val="000000"/>
          <w:sz w:val="24"/>
          <w:szCs w:val="24"/>
        </w:rPr>
        <w:t>根据高新区管委会办公室工作部署，高端装备中心进一步完善政府信息公开机构职能和主要内容，及时调整优化政府信息公开平台栏目设置，充分发挥政务新媒体推介宣传作用，增设党建引领、乡村振兴、产业发展等专题。截至目前，微信公众号关注人数4814人，全网平台发布视频资料 150余篇；设立专门政府信息查阅点，接待访客 2千余次。</w:t>
      </w:r>
    </w:p>
    <w:p>
      <w:pPr>
        <w:pStyle w:val="2"/>
        <w:keepNext w:val="0"/>
        <w:keepLines w:val="0"/>
        <w:widowControl/>
        <w:suppressLineNumbers w:val="0"/>
        <w:spacing w:line="26" w:lineRule="atLeast"/>
        <w:ind w:left="0" w:right="0" w:firstLine="480"/>
        <w:jc w:val="left"/>
      </w:pPr>
      <w:r>
        <w:rPr>
          <w:rFonts w:hint="eastAsia" w:ascii="微软雅黑" w:hAnsi="微软雅黑" w:eastAsia="微软雅黑" w:cs="微软雅黑"/>
          <w:color w:val="000000"/>
          <w:sz w:val="24"/>
          <w:szCs w:val="24"/>
        </w:rPr>
        <w:t>5. 监督保障方面</w:t>
      </w:r>
    </w:p>
    <w:p>
      <w:pPr>
        <w:pStyle w:val="2"/>
        <w:keepNext w:val="0"/>
        <w:keepLines w:val="0"/>
        <w:widowControl/>
        <w:suppressLineNumbers w:val="0"/>
        <w:spacing w:line="26" w:lineRule="atLeast"/>
        <w:ind w:left="0" w:right="0" w:firstLine="480"/>
        <w:jc w:val="left"/>
      </w:pPr>
      <w:r>
        <w:rPr>
          <w:rFonts w:hint="eastAsia" w:ascii="微软雅黑" w:hAnsi="微软雅黑" w:eastAsia="微软雅黑" w:cs="微软雅黑"/>
          <w:color w:val="000000"/>
          <w:sz w:val="24"/>
          <w:szCs w:val="24"/>
        </w:rPr>
        <w:t>淄博高端装备中心及时调整政务公开工作领导小组，明确主要负责同志对政务公开工作负总责，并确定由办公室牵头负责政府信息公开工作的推动和落实，各科室确定一名政务公开工作联络员，定期会商，责任到人；制定 2023 年政务公开培训计划，全年开展专题培训 4 次。每月进行自查，及时查缺补漏，认真分析大数据科反馈的问题，建立整改清单、落实改进措施、形成自查整改报告。同时严格按照省、市有关政府信息公开的文件通知和工作部署，落实规范政务公开平台信息发布审核要求，进一步完善政府信息公开工作相关管理制度，加强政府信息规范化管理。</w:t>
      </w:r>
    </w:p>
    <w:p>
      <w:pPr>
        <w:pStyle w:val="2"/>
        <w:keepNext w:val="0"/>
        <w:keepLines w:val="0"/>
        <w:widowControl/>
        <w:suppressLineNumbers w:val="0"/>
        <w:spacing w:line="26" w:lineRule="atLeast"/>
        <w:ind w:left="0" w:firstLine="0"/>
        <w:jc w:val="left"/>
      </w:pPr>
      <w:r>
        <w:rPr>
          <w:rStyle w:val="5"/>
          <w:rFonts w:hint="eastAsia" w:ascii="微软雅黑" w:hAnsi="微软雅黑" w:eastAsia="微软雅黑" w:cs="微软雅黑"/>
          <w:color w:val="000000"/>
          <w:sz w:val="24"/>
          <w:szCs w:val="24"/>
        </w:rPr>
        <w:t>        二、主动公开政府信息情况</w:t>
      </w:r>
    </w:p>
    <w:tbl>
      <w:tblPr>
        <w:tblW w:w="893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694"/>
        <w:gridCol w:w="1985"/>
        <w:gridCol w:w="2030"/>
        <w:gridCol w:w="22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3" w:hRule="atLeast"/>
          <w:jc w:val="center"/>
        </w:trPr>
        <w:tc>
          <w:tcPr>
            <w:tcW w:w="8931"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0"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信息内容</w:t>
            </w:r>
          </w:p>
        </w:tc>
        <w:tc>
          <w:tcPr>
            <w:tcW w:w="198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本年制发件数</w:t>
            </w:r>
          </w:p>
        </w:tc>
        <w:tc>
          <w:tcPr>
            <w:tcW w:w="203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本年废止件数</w:t>
            </w:r>
          </w:p>
        </w:tc>
        <w:tc>
          <w:tcPr>
            <w:tcW w:w="222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8"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规章</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20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22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行政规范性文件</w:t>
            </w:r>
          </w:p>
        </w:tc>
        <w:tc>
          <w:tcPr>
            <w:tcW w:w="19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20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22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9" w:hRule="atLeast"/>
          <w:jc w:val="center"/>
        </w:trPr>
        <w:tc>
          <w:tcPr>
            <w:tcW w:w="8931"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7"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信息内容</w:t>
            </w:r>
          </w:p>
        </w:tc>
        <w:tc>
          <w:tcPr>
            <w:tcW w:w="6237"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4"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行政许可</w:t>
            </w:r>
          </w:p>
        </w:tc>
        <w:tc>
          <w:tcPr>
            <w:tcW w:w="6237"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8" w:hRule="atLeast"/>
          <w:jc w:val="center"/>
        </w:trPr>
        <w:tc>
          <w:tcPr>
            <w:tcW w:w="8931"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1"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信息内容</w:t>
            </w:r>
          </w:p>
        </w:tc>
        <w:tc>
          <w:tcPr>
            <w:tcW w:w="6237"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9"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行政处罚</w:t>
            </w:r>
          </w:p>
        </w:tc>
        <w:tc>
          <w:tcPr>
            <w:tcW w:w="6237"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9"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行政强制</w:t>
            </w:r>
          </w:p>
        </w:tc>
        <w:tc>
          <w:tcPr>
            <w:tcW w:w="6237"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8931"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7"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信息内容</w:t>
            </w:r>
          </w:p>
        </w:tc>
        <w:tc>
          <w:tcPr>
            <w:tcW w:w="6237"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7" w:hRule="atLeast"/>
          <w:jc w:val="center"/>
        </w:trPr>
        <w:tc>
          <w:tcPr>
            <w:tcW w:w="26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行政事业性收费</w:t>
            </w:r>
          </w:p>
        </w:tc>
        <w:tc>
          <w:tcPr>
            <w:tcW w:w="6237"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bl>
    <w:p>
      <w:pPr>
        <w:pStyle w:val="2"/>
        <w:keepNext w:val="0"/>
        <w:keepLines w:val="0"/>
        <w:widowControl/>
        <w:suppressLineNumbers w:val="0"/>
        <w:spacing w:line="26" w:lineRule="atLeast"/>
      </w:pPr>
      <w:r>
        <w:rPr>
          <w:rStyle w:val="5"/>
          <w:rFonts w:hint="eastAsia" w:ascii="微软雅黑" w:hAnsi="微软雅黑" w:eastAsia="微软雅黑" w:cs="微软雅黑"/>
          <w:color w:val="000000"/>
          <w:sz w:val="24"/>
          <w:szCs w:val="24"/>
        </w:rPr>
        <w:t>        三、收到和处理政府信息公开申请情况</w:t>
      </w:r>
    </w:p>
    <w:tbl>
      <w:tblPr>
        <w:tblW w:w="978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96"/>
        <w:gridCol w:w="1541"/>
        <w:gridCol w:w="2637"/>
        <w:gridCol w:w="564"/>
        <w:gridCol w:w="701"/>
        <w:gridCol w:w="700"/>
        <w:gridCol w:w="948"/>
        <w:gridCol w:w="838"/>
        <w:gridCol w:w="564"/>
        <w:gridCol w:w="5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48" w:hRule="atLeast"/>
          <w:jc w:val="center"/>
        </w:trPr>
        <w:tc>
          <w:tcPr>
            <w:tcW w:w="4820" w:type="dxa"/>
            <w:gridSpan w:val="3"/>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（本列数据的勾稽关系为：第一项加第二项之和，等于第三项加第四项之和）</w:t>
            </w:r>
          </w:p>
        </w:tc>
        <w:tc>
          <w:tcPr>
            <w:tcW w:w="4961" w:type="dxa"/>
            <w:gridSpan w:val="7"/>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1" w:hRule="atLeast"/>
          <w:jc w:val="center"/>
        </w:trPr>
        <w:tc>
          <w:tcPr>
            <w:tcW w:w="4820"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自然人</w:t>
            </w:r>
          </w:p>
        </w:tc>
        <w:tc>
          <w:tcPr>
            <w:tcW w:w="3798"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法人或其他组织</w:t>
            </w:r>
          </w:p>
        </w:tc>
        <w:tc>
          <w:tcPr>
            <w:tcW w:w="596"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7" w:hRule="atLeast"/>
          <w:jc w:val="center"/>
        </w:trPr>
        <w:tc>
          <w:tcPr>
            <w:tcW w:w="4820"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商业企业</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科研机构</w:t>
            </w:r>
          </w:p>
        </w:tc>
        <w:tc>
          <w:tcPr>
            <w:tcW w:w="96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社会公益组织</w:t>
            </w:r>
          </w:p>
        </w:tc>
        <w:tc>
          <w:tcPr>
            <w:tcW w:w="8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法律服务机构</w:t>
            </w:r>
          </w:p>
        </w:tc>
        <w:tc>
          <w:tcPr>
            <w:tcW w:w="56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其他</w:t>
            </w:r>
          </w:p>
        </w:tc>
        <w:tc>
          <w:tcPr>
            <w:tcW w:w="596"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9" w:hRule="atLeast"/>
          <w:jc w:val="center"/>
        </w:trPr>
        <w:tc>
          <w:tcPr>
            <w:tcW w:w="482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一、本年新收政府信息公开申请数量</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1</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9" w:hRule="atLeast"/>
          <w:jc w:val="center"/>
        </w:trPr>
        <w:tc>
          <w:tcPr>
            <w:tcW w:w="482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二、上年结转政府信息公开申请数量</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8" w:hRule="atLeast"/>
          <w:jc w:val="center"/>
        </w:trPr>
        <w:tc>
          <w:tcPr>
            <w:tcW w:w="56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三、本年度办理结果</w:t>
            </w:r>
          </w:p>
        </w:tc>
        <w:tc>
          <w:tcPr>
            <w:tcW w:w="425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（一）予以公开</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25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（二）部分公开（区分处理的，只计这一情形，不计其他情形）</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0" w:hRule="atLeast"/>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（三）不予公开</w:t>
            </w: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1．属于国家秘密</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6" w:hRule="atLeast"/>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2．其他法律行政法规禁止公开</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9" w:hRule="atLeast"/>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3．危及“三安全一稳定”</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4．保护第三方合法权益</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5．属于三类内部事务信息</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9" w:hRule="atLeast"/>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6．属于四类过程性信息</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7．属于行政执法案卷</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1" w:hRule="atLeast"/>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8．属于行政查询事项</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2" w:hRule="atLeast"/>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（四）无法提供</w:t>
            </w: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1．本机关不掌握相关政府信息</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8" w:hRule="atLeast"/>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2．没有现成信息需要另行制作</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3．补正后申请内容仍不明确</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3" w:hRule="atLeast"/>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（五）不予处理</w:t>
            </w: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1．信访举报投诉类申请</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2．重复申请</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3" w:hRule="atLeast"/>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3．要求提供公开出版物</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4．无正当理由大量反复申请</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ind w:left="180" w:hanging="180"/>
            </w:pPr>
            <w:r>
              <w:rPr>
                <w:rFonts w:hint="eastAsia" w:ascii="微软雅黑" w:hAnsi="微软雅黑" w:eastAsia="微软雅黑" w:cs="微软雅黑"/>
                <w:color w:val="000000"/>
                <w:sz w:val="24"/>
                <w:szCs w:val="24"/>
              </w:rPr>
              <w:t>5．要求行政机关确认或重新出具已获取信息</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（六）其他处理</w:t>
            </w: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180" w:hanging="180"/>
            </w:pPr>
            <w:r>
              <w:rPr>
                <w:rFonts w:hint="eastAsia" w:ascii="微软雅黑" w:hAnsi="微软雅黑" w:eastAsia="微软雅黑" w:cs="微软雅黑"/>
                <w:color w:val="000000"/>
                <w:sz w:val="24"/>
                <w:szCs w:val="24"/>
              </w:rPr>
              <w:t>1.申请人无正当理由逾期不补正、行政机关不再处理其政府信息公开申请</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180" w:hanging="180"/>
            </w:pPr>
            <w:r>
              <w:rPr>
                <w:rFonts w:hint="eastAsia" w:ascii="微软雅黑" w:hAnsi="微软雅黑" w:eastAsia="微软雅黑" w:cs="微软雅黑"/>
                <w:color w:val="000000"/>
                <w:sz w:val="24"/>
                <w:szCs w:val="24"/>
              </w:rPr>
              <w:t>2.申请人逾期未按收费通知要求缴纳费用、行政机关不再处理其政府信息公开申请</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180" w:hanging="180"/>
            </w:pPr>
            <w:r>
              <w:rPr>
                <w:rFonts w:hint="eastAsia" w:ascii="微软雅黑" w:hAnsi="微软雅黑" w:eastAsia="微软雅黑" w:cs="微软雅黑"/>
                <w:color w:val="000000"/>
                <w:sz w:val="24"/>
                <w:szCs w:val="24"/>
              </w:rPr>
              <w:t>3.其他</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1</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jc w:val="center"/>
        </w:trPr>
        <w:tc>
          <w:tcPr>
            <w:tcW w:w="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tc>
        <w:tc>
          <w:tcPr>
            <w:tcW w:w="425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（七）总计</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1</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82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color w:val="000000"/>
                <w:sz w:val="24"/>
                <w:szCs w:val="24"/>
                <w:bdr w:val="none" w:color="auto" w:sz="0" w:space="0"/>
              </w:rPr>
              <w:t>四、结转下年度继续办理</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9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bl>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r>
        <w:rPr>
          <w:rStyle w:val="5"/>
          <w:rFonts w:hint="eastAsia" w:ascii="微软雅黑" w:hAnsi="微软雅黑" w:eastAsia="微软雅黑" w:cs="微软雅黑"/>
          <w:color w:val="000000"/>
          <w:sz w:val="24"/>
          <w:szCs w:val="24"/>
        </w:rPr>
        <w:t>四、因政府信息公开行政复议、行政诉讼情况</w:t>
      </w:r>
    </w:p>
    <w:tbl>
      <w:tblPr>
        <w:tblW w:w="1020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06"/>
        <w:gridCol w:w="705"/>
        <w:gridCol w:w="707"/>
        <w:gridCol w:w="680"/>
        <w:gridCol w:w="593"/>
        <w:gridCol w:w="707"/>
        <w:gridCol w:w="707"/>
        <w:gridCol w:w="707"/>
        <w:gridCol w:w="706"/>
        <w:gridCol w:w="566"/>
        <w:gridCol w:w="847"/>
        <w:gridCol w:w="648"/>
        <w:gridCol w:w="764"/>
        <w:gridCol w:w="707"/>
        <w:gridCol w:w="4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2" w:hRule="atLeast"/>
          <w:jc w:val="center"/>
        </w:trPr>
        <w:tc>
          <w:tcPr>
            <w:tcW w:w="340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行政复议</w:t>
            </w:r>
          </w:p>
        </w:tc>
        <w:tc>
          <w:tcPr>
            <w:tcW w:w="6804"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3" w:hRule="atLeast"/>
          <w:jc w:val="center"/>
        </w:trPr>
        <w:tc>
          <w:tcPr>
            <w:tcW w:w="70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结果维持</w:t>
            </w:r>
          </w:p>
        </w:tc>
        <w:tc>
          <w:tcPr>
            <w:tcW w:w="70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结果纠正</w:t>
            </w:r>
          </w:p>
        </w:tc>
        <w:tc>
          <w:tcPr>
            <w:tcW w:w="709"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其他结果</w:t>
            </w:r>
          </w:p>
        </w:tc>
        <w:tc>
          <w:tcPr>
            <w:tcW w:w="68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尚未审结</w:t>
            </w:r>
          </w:p>
        </w:tc>
        <w:tc>
          <w:tcPr>
            <w:tcW w:w="594"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总计</w:t>
            </w:r>
          </w:p>
        </w:tc>
        <w:tc>
          <w:tcPr>
            <w:tcW w:w="3402"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未经复议直接起诉</w:t>
            </w:r>
          </w:p>
        </w:tc>
        <w:tc>
          <w:tcPr>
            <w:tcW w:w="3402"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0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0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0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8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94"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结果维持</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结果纠正</w:t>
            </w:r>
          </w:p>
        </w:tc>
        <w:tc>
          <w:tcPr>
            <w:tcW w:w="70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其他结果</w:t>
            </w:r>
          </w:p>
        </w:tc>
        <w:tc>
          <w:tcPr>
            <w:tcW w:w="70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尚未审结</w:t>
            </w:r>
          </w:p>
        </w:tc>
        <w:tc>
          <w:tcPr>
            <w:tcW w:w="56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总计</w:t>
            </w:r>
          </w:p>
        </w:tc>
        <w:tc>
          <w:tcPr>
            <w:tcW w:w="85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结果维持</w:t>
            </w:r>
          </w:p>
        </w:tc>
        <w:tc>
          <w:tcPr>
            <w:tcW w:w="6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结果纠正</w:t>
            </w:r>
          </w:p>
        </w:tc>
        <w:tc>
          <w:tcPr>
            <w:tcW w:w="76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其他结果</w:t>
            </w:r>
          </w:p>
        </w:tc>
        <w:tc>
          <w:tcPr>
            <w:tcW w:w="70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尚未审结</w:t>
            </w:r>
          </w:p>
        </w:tc>
        <w:tc>
          <w:tcPr>
            <w:tcW w:w="42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5" w:hRule="atLeast"/>
          <w:jc w:val="center"/>
        </w:trPr>
        <w:tc>
          <w:tcPr>
            <w:tcW w:w="7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1</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6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9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1</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85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c>
          <w:tcPr>
            <w:tcW w:w="4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0</w:t>
            </w:r>
          </w:p>
        </w:tc>
      </w:tr>
    </w:tbl>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r>
        <w:rPr>
          <w:rStyle w:val="5"/>
          <w:rFonts w:hint="eastAsia" w:ascii="微软雅黑" w:hAnsi="微软雅黑" w:eastAsia="微软雅黑" w:cs="微软雅黑"/>
          <w:color w:val="000000"/>
          <w:sz w:val="24"/>
          <w:szCs w:val="24"/>
        </w:rPr>
        <w:t>五、存在的主要问题及改进情况</w:t>
      </w:r>
    </w:p>
    <w:p>
      <w:pPr>
        <w:pStyle w:val="2"/>
        <w:keepNext w:val="0"/>
        <w:keepLines w:val="0"/>
        <w:widowControl/>
        <w:suppressLineNumbers w:val="0"/>
        <w:spacing w:line="26" w:lineRule="atLeast"/>
      </w:pPr>
      <w:r>
        <w:rPr>
          <w:rFonts w:ascii="Calibri" w:hAnsi="Calibri" w:cs="Calibri"/>
          <w:color w:val="000000"/>
          <w:sz w:val="24"/>
          <w:szCs w:val="24"/>
          <w:shd w:val="clear" w:fill="FFFFFF"/>
        </w:rPr>
        <w:t xml:space="preserve">    </w:t>
      </w:r>
      <w:r>
        <w:rPr>
          <w:rFonts w:hint="eastAsia" w:ascii="微软雅黑" w:hAnsi="微软雅黑" w:eastAsia="微软雅黑" w:cs="微软雅黑"/>
          <w:color w:val="000000"/>
          <w:sz w:val="24"/>
          <w:szCs w:val="24"/>
        </w:rPr>
        <w:t>   2023年 ，淄博高端装备中心在政府信息公开工作方面取得了一定成效，但还存在以下问题：</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公众参与不足，缺乏有效的机制鼓励公众参与信息公开工作，包括对公众意见和建议的反馈。</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针对以上问题，我们采取了以下措施进行改进：</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进一步加强公众参与度，提高参与方式多样化，畅通公众参与渠道，鼓励公众提供意见和建议。构建网络社情民意交流群，鼓励公民积极参与，政府部门定期收集整理，并对公众反馈进行认真处理和回应。</w:t>
      </w:r>
    </w:p>
    <w:p>
      <w:pPr>
        <w:pStyle w:val="2"/>
        <w:keepNext w:val="0"/>
        <w:keepLines w:val="0"/>
        <w:widowControl/>
        <w:suppressLineNumbers w:val="0"/>
        <w:spacing w:line="26" w:lineRule="atLeast"/>
        <w:ind w:left="0" w:firstLine="0"/>
      </w:pPr>
      <w:r>
        <w:rPr>
          <w:rStyle w:val="5"/>
          <w:rFonts w:hint="eastAsia" w:ascii="微软雅黑" w:hAnsi="微软雅黑" w:eastAsia="微软雅黑" w:cs="微软雅黑"/>
          <w:color w:val="000000"/>
          <w:sz w:val="24"/>
          <w:szCs w:val="24"/>
        </w:rPr>
        <w:t>       六、其他需要报告的事项</w:t>
      </w:r>
    </w:p>
    <w:p>
      <w:pPr>
        <w:pStyle w:val="2"/>
        <w:keepNext w:val="0"/>
        <w:keepLines w:val="0"/>
        <w:widowControl/>
        <w:suppressLineNumbers w:val="0"/>
        <w:spacing w:line="26" w:lineRule="atLeast"/>
        <w:ind w:left="0" w:firstLine="0"/>
      </w:pPr>
      <w:r>
        <w:rPr>
          <w:rFonts w:hint="eastAsia" w:ascii="微软雅黑" w:hAnsi="微软雅黑" w:eastAsia="微软雅黑" w:cs="微软雅黑"/>
          <w:color w:val="000000"/>
          <w:sz w:val="24"/>
          <w:szCs w:val="24"/>
        </w:rPr>
        <w:t>       1.本年度依申请公开，未收取任何信息处理费。</w:t>
      </w:r>
    </w:p>
    <w:p>
      <w:pPr>
        <w:pStyle w:val="2"/>
        <w:keepNext w:val="0"/>
        <w:keepLines w:val="0"/>
        <w:widowControl/>
        <w:suppressLineNumbers w:val="0"/>
        <w:spacing w:line="26" w:lineRule="atLeast"/>
        <w:ind w:left="0" w:firstLine="0"/>
      </w:pPr>
      <w:r>
        <w:rPr>
          <w:rFonts w:hint="eastAsia" w:ascii="微软雅黑" w:hAnsi="微软雅黑" w:eastAsia="微软雅黑" w:cs="微软雅黑"/>
          <w:color w:val="000000"/>
          <w:sz w:val="24"/>
          <w:szCs w:val="24"/>
        </w:rPr>
        <w:t>       2.本年度建议提案办理情况：无</w:t>
      </w:r>
    </w:p>
    <w:p>
      <w:pPr>
        <w:pStyle w:val="2"/>
        <w:keepNext w:val="0"/>
        <w:keepLines w:val="0"/>
        <w:widowControl/>
        <w:suppressLineNumbers w:val="0"/>
        <w:spacing w:line="26" w:lineRule="atLeast"/>
        <w:ind w:left="0" w:firstLine="0"/>
      </w:pPr>
      <w:r>
        <w:rPr>
          <w:rFonts w:hint="eastAsia" w:ascii="微软雅黑" w:hAnsi="微软雅黑" w:eastAsia="微软雅黑" w:cs="微软雅黑"/>
          <w:color w:val="000000"/>
          <w:sz w:val="24"/>
          <w:szCs w:val="24"/>
        </w:rPr>
        <w:t>       3.在政务公开制度、内容、形式和平台建设方面的创新实践情况：</w:t>
      </w:r>
    </w:p>
    <w:p>
      <w:pPr>
        <w:pStyle w:val="2"/>
        <w:keepNext w:val="0"/>
        <w:keepLines w:val="0"/>
        <w:widowControl/>
        <w:suppressLineNumbers w:val="0"/>
        <w:spacing w:line="26" w:lineRule="atLeast"/>
        <w:ind w:left="0" w:firstLine="420"/>
      </w:pPr>
      <w:r>
        <w:rPr>
          <w:rFonts w:hint="eastAsia" w:ascii="微软雅黑" w:hAnsi="微软雅黑" w:eastAsia="微软雅黑" w:cs="微软雅黑"/>
          <w:color w:val="000000"/>
          <w:sz w:val="24"/>
          <w:szCs w:val="24"/>
        </w:rPr>
        <w:t>淄博高端装备中心高度重视政务新媒体工作，集中力量做优做强“淄博高端装备中心”微信公众号，在加强内容建设方面，淄博高端装备中心聚焦“三提三争”，通过“淄博高端装备中心”微信公众号聚焦百姓关注的热点，服务群众需求。同时依托新时代文明实践所、站、黄河大集活动等线下活动广泛宣讲政务公开制度、内容，积极发挥政务公开前沿阵地的作用。</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color w:val="000000"/>
          <w:sz w:val="24"/>
          <w:szCs w:val="24"/>
        </w:rPr>
        <w:t>4.政务公开工作方案落实情况：</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r>
        <w:rPr>
          <w:rFonts w:hint="eastAsia" w:ascii="微软雅黑" w:hAnsi="微软雅黑" w:eastAsia="微软雅黑" w:cs="微软雅黑"/>
          <w:sz w:val="24"/>
          <w:szCs w:val="24"/>
        </w:rPr>
        <w:t>（1）规范政府信息主动公开。 高端装备中心持续规范政府信息公开专栏建设，建立健全信息发布工作机制，切实做好信息发布维护工作和政府信息公开保密审查工作。高端装备中心深入贯彻落实《中华人民共和国政府信息公开条例》和《信访工作条例》，不断完善主动公开基本目录，完善政府信息公开平台栏目，落实专人专责，健全主动公开栏目内容的日常检查、维护和更新机制。</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2）强化信息常态化更新及审核工作。聚焦重点领域，加大信息公开力度。高端装备中心加强主动公开基本目录动态管理，根据重点任务及群众需求，实时调整更新，常态化公开专题会议，针对政民互动留言确保在3个工作日内进行答复，同时针对对外公开发布的信息会经相关业务科室及分管领导审核签字后发布。</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3）强化公众参与和保障监督。通过本单位信息公开平台、政务新媒体平台和“互动交流”系统等渠道提高公众参与度，完善互动回应服务。完善政务公开培训会和交流座谈会，将政务公开工作中的“新做法、新模式、新成效”及时形成稿件定期进行报送，将相关工作纳入高端装备中心月度、年度工作考核。</w:t>
      </w:r>
    </w:p>
    <w:p>
      <w:pPr>
        <w:pStyle w:val="2"/>
        <w:keepNext w:val="0"/>
        <w:keepLines w:val="0"/>
        <w:widowControl/>
        <w:suppressLineNumbers w:val="0"/>
        <w:spacing w:line="26" w:lineRule="atLeast"/>
      </w:pPr>
      <w:r>
        <w:rPr>
          <w:rFonts w:hint="default" w:ascii="Calibri" w:hAnsi="Calibri" w:cs="Calibri"/>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301200CD"/>
    <w:rsid w:val="00A52871"/>
    <w:rsid w:val="01606F2F"/>
    <w:rsid w:val="25B367D0"/>
    <w:rsid w:val="2692022C"/>
    <w:rsid w:val="301200CD"/>
    <w:rsid w:val="367F595F"/>
    <w:rsid w:val="454F2C4E"/>
    <w:rsid w:val="4D0B5FEA"/>
    <w:rsid w:val="4E582681"/>
    <w:rsid w:val="4E766C58"/>
    <w:rsid w:val="4EBF4E76"/>
    <w:rsid w:val="55FF0160"/>
    <w:rsid w:val="564432AA"/>
    <w:rsid w:val="5A3314E9"/>
    <w:rsid w:val="63225F2A"/>
    <w:rsid w:val="63941C0D"/>
    <w:rsid w:val="6C58250B"/>
    <w:rsid w:val="6D0C48D5"/>
    <w:rsid w:val="6F2F7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2366</Words>
  <Characters>2468</Characters>
  <Lines>0</Lines>
  <Paragraphs>0</Paragraphs>
  <TotalTime>22</TotalTime>
  <ScaleCrop>false</ScaleCrop>
  <LinksUpToDate>false</LinksUpToDate>
  <CharactersWithSpaces>2507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2024-01-31T03:37:00Z</dcterms:created>
  <dc:creator>Administrator</dc:creator>
  <cp:lastModifiedBy>Administrator</cp:lastModifiedBy>
  <dcterms:modified xsi:type="dcterms:W3CDTF">2024-01-31T06:26:13Z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51C10D09A1864E9BB8F86C6610D74009_13</vt:lpwstr>
  </property>
</Properties>
</file>