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</w:rPr>
      </w:pPr>
      <w:r>
        <w:rPr>
          <w:rStyle w:val="7"/>
          <w:rFonts w:hint="eastAsia" w:ascii="黑体" w:hAnsi="黑体" w:eastAsia="黑体"/>
          <w:color w:val="000000"/>
          <w:sz w:val="36"/>
          <w:szCs w:val="36"/>
        </w:rPr>
        <w:t>淄博市公安局高新技术开发区分局执法依据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000000"/>
        </w:rPr>
      </w:pPr>
      <w:r>
        <w:rPr>
          <w:rFonts w:hint="eastAsia" w:ascii="新宋体" w:hAnsi="新宋体" w:eastAsia="新宋体"/>
          <w:color w:val="000000"/>
          <w:sz w:val="27"/>
          <w:szCs w:val="27"/>
        </w:rPr>
        <w:t>《中华人民共和国行政处罚法》、《中华人民共和国行政强制法》、《中华人民共和国行政许可法》、《中华人民共</w:t>
      </w:r>
      <w:bookmarkStart w:id="0" w:name="_GoBack"/>
      <w:bookmarkEnd w:id="0"/>
      <w:r>
        <w:rPr>
          <w:rFonts w:hint="eastAsia" w:ascii="新宋体" w:hAnsi="新宋体" w:eastAsia="新宋体"/>
          <w:color w:val="000000"/>
          <w:sz w:val="27"/>
          <w:szCs w:val="27"/>
        </w:rPr>
        <w:t>和国人民警察法》、《中华人民共和国治安管理处罚法》、《公安机关办理行政案件程序规定》、《中华人民共和国反恐怖主义法》、《中华人民共和国环境保护法》、《中华人民共和国禁毒法》、《中华人民共和国消防法》、《中华人民共和国森林法》、《中华人民共和国出境入境管理法》、《中华人民共和国枪支管理法》、《中华人民共和国食品安全法》、《中华人民共和国居民身份证法》、《中华人民共和国集会游行示威法》、《中华人民共和国境外非政府组织境内活动管理法》、《中华人民共和国中国人民银行法》、《中华人民共和国教育法》、《中华人民共和国固体废物污染环境防治法》、《娱乐场所管理条例》、《烟花爆竹安全管理条例》、《危险化学品安全管理条例》、《易制毒化学品管理条例》、《易制毒化学品购销和运输管理办法》、《易制爆危险化学品治安管理办法》、《居住证暂行条例》、《互联网上网服务营业场所管理条例》《中华人民共和国网络安全法》、《剧毒化学品购买和公路运输许可证件管理办法》、《民用爆炸物品安全管理条例》、《企业事业单位内部治安保卫条例》、《放射性物品运输安全管理条例》等相关法律法规、部门规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737"/>
    <w:rsid w:val="004B0737"/>
    <w:rsid w:val="00B910E2"/>
    <w:rsid w:val="731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464</Characters>
  <Lines>3</Lines>
  <Paragraphs>1</Paragraphs>
  <TotalTime>0</TotalTime>
  <ScaleCrop>false</ScaleCrop>
  <LinksUpToDate>false</LinksUpToDate>
  <CharactersWithSpaces>544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2023-01-05T00:33:00Z</dcterms:created>
  <dc:creator>uesr</dc:creator>
  <cp:lastModifiedBy>Administrator</cp:lastModifiedBy>
  <dcterms:modified xsi:type="dcterms:W3CDTF">2023-01-05T01:01:23Z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