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40"/>
          <w:szCs w:val="40"/>
        </w:rPr>
        <w:t>2023年度淄博高新区各类宾馆的监督抽查</w:t>
      </w:r>
    </w:p>
    <w:p>
      <w:pPr>
        <w:ind w:firstLine="5200" w:firstLineChars="13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淄博晋铭酒店管理有限公司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91370303MA3QX20Q47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山东莱茵酒店管理有限公司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91370303MA94NQ8T1P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该企业已注销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淄博青龙山宾馆有限责任公司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91370303MABNLDQY1J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淄博子航酒店管理有限公司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91370303MAC07N2J8Q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山东金奥置业有限公司淄博金奥万枫酒店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91370303MACERPCM3U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淄博八达橘客栈有限公司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91370303MACEYBLHXM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该企业已注销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2023年度淄博高新区各类宾馆的监督抽查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淄博明丽小宿住宿服务有限公司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91370303MACJQEDE3U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该企业已注销</w:t>
            </w:r>
          </w:p>
        </w:tc>
      </w:tr>
    </w:tbl>
    <w:p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48390A7E"/>
    <w:rsid w:val="4B323DA5"/>
    <w:rsid w:val="547A6F6F"/>
    <w:rsid w:val="58972977"/>
    <w:rsid w:val="64D401C2"/>
    <w:rsid w:val="66CF1575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2023-10-26T07:08:27Z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