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lang w:eastAsia="zh-CN"/>
        </w:rPr>
      </w:pPr>
      <w:bookmarkStart w:id="6" w:name="_GoBack"/>
      <w:bookmarkStart w:id="0" w:name="_Toc21931"/>
      <w:bookmarkStart w:id="1" w:name="_Toc8626"/>
      <w:r>
        <w:rPr>
          <w:rFonts w:hint="eastAsia" w:ascii="方正小标宋_GBK" w:hAnsi="方正小标宋_GBK" w:eastAsia="方正小标宋_GBK" w:cs="方正小标宋_GBK"/>
          <w:sz w:val="44"/>
          <w:szCs w:val="44"/>
          <w:lang w:eastAsia="zh-CN"/>
        </w:rPr>
        <w:t>淄博市</w:t>
      </w:r>
      <w:r>
        <w:rPr>
          <w:rFonts w:hint="eastAsia" w:ascii="方正小标宋_GBK" w:hAnsi="方正小标宋_GBK" w:eastAsia="方正小标宋_GBK" w:cs="方正小标宋_GBK"/>
          <w:sz w:val="44"/>
          <w:szCs w:val="44"/>
        </w:rPr>
        <w:t>公安</w:t>
      </w:r>
      <w:r>
        <w:rPr>
          <w:rFonts w:hint="eastAsia" w:ascii="方正小标宋_GBK" w:hAnsi="方正小标宋_GBK" w:eastAsia="方正小标宋_GBK" w:cs="方正小标宋_GBK"/>
          <w:sz w:val="44"/>
          <w:szCs w:val="44"/>
          <w:lang w:eastAsia="zh-CN"/>
        </w:rPr>
        <w:t>局高新区分局</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“双随机、一公开”抽查工作指引</w:t>
      </w:r>
    </w:p>
    <w:bookmarkEnd w:id="6"/>
    <w:p>
      <w:pPr>
        <w:jc w:val="center"/>
        <w:rPr>
          <w:rFonts w:hint="eastAsia"/>
        </w:rPr>
      </w:pPr>
    </w:p>
    <w:p>
      <w:pPr>
        <w:ind w:left="0" w:leftChars="0" w:firstLine="0" w:firstLineChars="0"/>
        <w:jc w:val="center"/>
        <w:rPr>
          <w:rFonts w:hint="eastAsia" w:ascii="黑体" w:hAnsi="黑体" w:eastAsia="黑体" w:cs="黑体"/>
        </w:rPr>
      </w:pPr>
      <w:r>
        <w:rPr>
          <w:rFonts w:hint="eastAsia" w:ascii="黑体" w:hAnsi="黑体" w:eastAsia="黑体" w:cs="黑体"/>
        </w:rPr>
        <w:t>总</w:t>
      </w:r>
      <w:r>
        <w:rPr>
          <w:rFonts w:hint="eastAsia" w:ascii="黑体" w:hAnsi="黑体" w:eastAsia="黑体" w:cs="黑体"/>
          <w:lang w:eastAsia="zh-CN"/>
        </w:rPr>
        <w:t xml:space="preserve">  </w:t>
      </w:r>
      <w:r>
        <w:rPr>
          <w:rFonts w:hint="eastAsia" w:ascii="黑体" w:hAnsi="黑体" w:eastAsia="黑体" w:cs="黑体"/>
        </w:rPr>
        <w:t>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本工作指引适用于《</w:t>
      </w:r>
      <w:r>
        <w:rPr>
          <w:rFonts w:hint="eastAsia"/>
          <w:lang w:eastAsia="zh-CN"/>
        </w:rPr>
        <w:t>淄博市公安局高新区分局</w:t>
      </w:r>
      <w:r>
        <w:rPr>
          <w:rFonts w:hint="eastAsia"/>
          <w:lang w:val="en-US" w:eastAsia="zh-CN"/>
        </w:rPr>
        <w:t>2023年度</w:t>
      </w:r>
      <w:r>
        <w:rPr>
          <w:rFonts w:hint="eastAsia"/>
        </w:rPr>
        <w:t>“双随机、一公开”抽查事项清单》所列各抽查事项的实地核查。除实地核查外，“双随机、一公开”监管中还可根据具体情况采取书面检查、网络监测、聘请专业机构等适当方式进行检查。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本工作指引适用于企业、个体工商户、农民专业合作社或其他经营单位等各类检查对象。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一、前期准备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实地核查前，可根据需要查阅检查对象的基本信息，或委托第三方机构、数据公司，通过信息化手段进行事先检索，初步了解可能存在的问题等，提高检查效率。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二、实地核查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实地核查人员不得少于两人，并应当出示执法证件。在核查中，应注意通过文字、音频或影像等方式留存核查痕迹，必要时可邀请相关人员作为见证人。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rPr>
      </w:pPr>
      <w:r>
        <w:rPr>
          <w:rFonts w:hint="eastAsia" w:ascii="黑体" w:hAnsi="黑体" w:eastAsia="黑体" w:cs="黑体"/>
        </w:rPr>
        <w:t>三、结果公示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实地核查人员应当在抽查检查任务结束后20个工作日内</w:t>
      </w:r>
      <w:r>
        <w:rPr>
          <w:rFonts w:hint="eastAsia"/>
          <w:lang w:eastAsia="zh-CN"/>
        </w:rPr>
        <w:t>，以及抽查任务确定的</w:t>
      </w:r>
      <w:r>
        <w:rPr>
          <w:rFonts w:hint="eastAsia"/>
        </w:rPr>
        <w:t>抽查</w:t>
      </w:r>
      <w:r>
        <w:rPr>
          <w:rFonts w:hint="eastAsia"/>
          <w:lang w:eastAsia="zh-CN"/>
        </w:rPr>
        <w:t>截止时间前，将检查结果</w:t>
      </w:r>
      <w:r>
        <w:rPr>
          <w:rFonts w:hint="eastAsia"/>
          <w:color w:val="000000" w:themeColor="text1"/>
          <w14:textFill>
            <w14:solidFill>
              <w14:schemeClr w14:val="tx1"/>
            </w14:solidFill>
          </w14:textFill>
        </w:rPr>
        <w:t>录</w:t>
      </w:r>
      <w:r>
        <w:rPr>
          <w:rFonts w:hint="eastAsia"/>
        </w:rPr>
        <w:t>入“双随机、一公开”监管平台，通过公示系统公示。已实施检查但未公示的，视为未完成此次抽查</w:t>
      </w:r>
      <w:r>
        <w:rPr>
          <w:rFonts w:hint="eastAsia"/>
          <w:lang w:eastAsia="zh-CN"/>
        </w:rPr>
        <w:t>；逾期录入检查结果的，属于违反双随机抽查工作流程、未及时公开。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抽查检查结果的类型包括</w:t>
      </w:r>
      <w:r>
        <w:rPr>
          <w:rFonts w:hint="eastAsia"/>
          <w:lang w:eastAsia="zh-CN"/>
        </w:rPr>
        <w:t>：</w:t>
      </w:r>
      <w:r>
        <w:rPr>
          <w:rFonts w:hint="eastAsia"/>
        </w:rPr>
        <w:t>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（一）通过对此次抽查所匹配的抽查事项的检查，未发现违反本指引所列法律法规的，可认定为“未发现问题”。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（二）企业未依照《企业信息公示暂行条例》第十条规定履行公示义务的，应当书面责令其在10日内履行公示义务。企业未在责令的期限内公示信息的，可认定为“未按规定公示应当公示的信息”。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（三）检查中发现行政许可、行政处罚等即时公示信息公示信息与检查情况不一致的，可认定为“公示信息隐瞒真实情况弄虚作假”</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（四）有以下情形之一的，可认定为“通过登记的住所（经营场所）无法联系”</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1.通过实地核查，确认实际不存在该企业，并由登记的住所或经营场所产权所有人、物管公司、相关部门等予以证明的；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2.通过实地核查、第三方证明或邮寄等方式，能确认登记的住所或经营场所实际不存在的；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3.经向企业登记的住所或经营场所两次邮寄专用信函，无人签收的。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（五）对检查发现的违反本指引所列法律法规的行为，通过指导、提示、告诫等方式要求企业当场改正，且已当场改正的，可认定为“发现问题已责令改正”。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eastAsia="仿宋_GB2312"/>
          <w:lang w:eastAsia="zh-CN"/>
        </w:rPr>
      </w:pPr>
      <w:r>
        <w:rPr>
          <w:rFonts w:hint="eastAsia"/>
        </w:rPr>
        <w:t>（六）有以下情形之一的，可认定为“不配合检查情节严重”</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1.拒绝检查人员或其委托的专业机构进入被检查场所的；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2.拒绝向检查人员或其委托的专业机构提供相关材料的；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3.其他阻扰、妨碍检查工作的行为，致使检查工作无法正常进行的。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（七）未发现企业从事本次抽查匹配的检查事项，并经企业书面承诺的，可认定为“未发现开展本次抽查涉及的经营活动”。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bookmarkEnd w:id="0"/>
    <w:bookmarkEnd w:id="1"/>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2" w:name="_Toc30546"/>
      <w:bookmarkStart w:id="3" w:name="_Toc15551"/>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0"/>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第一章</w:t>
      </w:r>
      <w:bookmarkEnd w:id="2"/>
      <w:bookmarkEnd w:id="3"/>
      <w:bookmarkStart w:id="4" w:name="_Toc15280"/>
      <w:bookmarkStart w:id="5" w:name="_Toc27038"/>
      <w:r>
        <w:rPr>
          <w:rFonts w:hint="eastAsia" w:ascii="方正小标宋简体" w:hAnsi="方正小标宋简体" w:eastAsia="方正小标宋简体" w:cs="方正小标宋简体"/>
          <w:color w:val="000000"/>
          <w:sz w:val="44"/>
          <w:szCs w:val="44"/>
          <w:lang w:val="en-US" w:eastAsia="zh-CN"/>
        </w:rPr>
        <w:t xml:space="preserve"> 对网络运营者的监督检查工作指引</w:t>
      </w:r>
      <w:bookmarkEnd w:id="4"/>
      <w:bookmarkEnd w:id="5"/>
    </w:p>
    <w:p>
      <w:pPr>
        <w:pStyle w:val="4"/>
        <w:ind w:firstLine="640"/>
        <w:rPr>
          <w:rFonts w:hint="default"/>
        </w:rPr>
      </w:pPr>
      <w:r>
        <w:rPr>
          <w:rFonts w:hint="default"/>
        </w:rPr>
        <w:t>一、抽查事项</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对网络运营者的监督检查。</w:t>
      </w:r>
    </w:p>
    <w:p>
      <w:pPr>
        <w:pStyle w:val="4"/>
        <w:ind w:firstLine="640"/>
        <w:rPr>
          <w:rFonts w:hint="default"/>
        </w:rPr>
      </w:pPr>
      <w:r>
        <w:rPr>
          <w:rFonts w:hint="default"/>
        </w:rPr>
        <w:t>二、检查内容和方法</w:t>
      </w:r>
    </w:p>
    <w:p>
      <w:pPr>
        <w:bidi w:val="0"/>
        <w:rPr>
          <w:rFonts w:hint="eastAsia" w:ascii="仿宋_GB2312" w:hAnsi="仿宋_GB2312" w:eastAsia="仿宋_GB2312" w:cs="仿宋_GB2312"/>
        </w:rPr>
      </w:pPr>
      <w:r>
        <w:rPr>
          <w:rFonts w:hint="eastAsia" w:ascii="仿宋_GB2312" w:hAnsi="仿宋_GB2312" w:eastAsia="仿宋_GB2312" w:cs="仿宋_GB2312"/>
        </w:rPr>
        <w:t>采用现场检查与网络检查等方式，</w:t>
      </w:r>
      <w:r>
        <w:rPr>
          <w:rFonts w:hint="eastAsia" w:ascii="仿宋_GB2312" w:hAnsi="仿宋_GB2312" w:eastAsia="仿宋_GB2312" w:cs="仿宋_GB2312"/>
          <w:lang w:val="en-US"/>
        </w:rPr>
        <w:t>对</w:t>
      </w:r>
      <w:r>
        <w:rPr>
          <w:rFonts w:hint="eastAsia" w:ascii="仿宋_GB2312" w:hAnsi="仿宋_GB2312" w:eastAsia="仿宋_GB2312" w:cs="仿宋_GB2312"/>
        </w:rPr>
        <w:t>互联网服务提供者和联网使用单位</w:t>
      </w:r>
      <w:r>
        <w:rPr>
          <w:rFonts w:hint="eastAsia" w:ascii="仿宋_GB2312" w:hAnsi="仿宋_GB2312" w:eastAsia="仿宋_GB2312" w:cs="仿宋_GB2312"/>
          <w:lang w:val="en-US"/>
        </w:rPr>
        <w:t>落实</w:t>
      </w:r>
      <w:r>
        <w:rPr>
          <w:rFonts w:hint="eastAsia" w:ascii="仿宋_GB2312" w:hAnsi="仿宋_GB2312" w:eastAsia="仿宋_GB2312" w:cs="仿宋_GB2312"/>
        </w:rPr>
        <w:t>网络安全保护管理以及技术措施的情况</w:t>
      </w:r>
      <w:r>
        <w:rPr>
          <w:rFonts w:hint="eastAsia" w:ascii="仿宋_GB2312" w:hAnsi="仿宋_GB2312" w:eastAsia="仿宋_GB2312" w:cs="仿宋_GB2312"/>
          <w:lang w:val="en-US"/>
        </w:rPr>
        <w:t>进行检查。</w:t>
      </w:r>
    </w:p>
    <w:p>
      <w:pPr>
        <w:pStyle w:val="4"/>
        <w:ind w:firstLine="640"/>
        <w:rPr>
          <w:rFonts w:hint="default"/>
        </w:rPr>
      </w:pPr>
      <w:r>
        <w:rPr>
          <w:rFonts w:hint="default"/>
        </w:rPr>
        <w:t>三、检查依据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（一）《网络安全法》（2016年11月7日第十二届全国人民代表大会常务委员会第二十四次会议通过）</w:t>
      </w:r>
    </w:p>
    <w:p>
      <w:pPr>
        <w:bidi w:val="0"/>
        <w:rPr>
          <w:rFonts w:hint="eastAsia" w:ascii="仿宋_GB2312" w:hAnsi="仿宋_GB2312" w:eastAsia="仿宋_GB2312" w:cs="仿宋_GB2312"/>
        </w:rPr>
      </w:pPr>
      <w:r>
        <w:rPr>
          <w:rFonts w:hint="eastAsia" w:ascii="仿宋_GB2312" w:hAnsi="仿宋_GB2312" w:eastAsia="仿宋_GB2312" w:cs="仿宋_GB2312"/>
        </w:rPr>
        <w:t>第四十九条 网络运营者对网信部门和有关部门依法实施的监督检查，应当予以配合。</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（二）《计算机信息系统安全保护条例》（国务院令第147号）</w:t>
      </w:r>
    </w:p>
    <w:p>
      <w:pPr>
        <w:bidi w:val="0"/>
        <w:rPr>
          <w:rFonts w:hint="eastAsia" w:ascii="仿宋_GB2312" w:hAnsi="仿宋_GB2312" w:eastAsia="仿宋_GB2312" w:cs="仿宋_GB2312"/>
        </w:rPr>
      </w:pPr>
      <w:r>
        <w:rPr>
          <w:rFonts w:hint="eastAsia" w:ascii="仿宋_GB2312" w:hAnsi="仿宋_GB2312" w:eastAsia="仿宋_GB2312" w:cs="仿宋_GB2312"/>
        </w:rPr>
        <w:t>第十七条 公安机关对计算机信息系统安全保护工作行使下列监督职权：（一）监督、检查、指导计算机信息系统安全保护工作；</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（三）《关键信息基础设施安全保护条例》（国务院令第745号）</w:t>
      </w:r>
    </w:p>
    <w:p>
      <w:pPr>
        <w:bidi w:val="0"/>
        <w:rPr>
          <w:rFonts w:hint="eastAsia" w:ascii="仿宋_GB2312" w:hAnsi="仿宋_GB2312" w:eastAsia="仿宋_GB2312" w:cs="仿宋_GB2312"/>
        </w:rPr>
      </w:pPr>
      <w:r>
        <w:rPr>
          <w:rFonts w:hint="eastAsia" w:ascii="仿宋_GB2312" w:hAnsi="仿宋_GB2312" w:eastAsia="仿宋_GB2312" w:cs="仿宋_GB2312"/>
        </w:rPr>
        <w:t xml:space="preserve">第二十七条 国家网信部门统筹协调国务院公安部门、保护工作部门对关键信息基础设施进行网络安全检查检测，提出改进措施。 </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（四）《计算机信息网络国际联网安全保护管理办法》（1997年12月公安部令第33号，2011年1月修订）</w:t>
      </w:r>
    </w:p>
    <w:p>
      <w:pPr>
        <w:bidi w:val="0"/>
        <w:rPr>
          <w:rFonts w:hint="eastAsia" w:ascii="仿宋_GB2312" w:hAnsi="仿宋_GB2312" w:eastAsia="仿宋_GB2312" w:cs="仿宋_GB2312"/>
        </w:rPr>
      </w:pPr>
      <w:r>
        <w:rPr>
          <w:rFonts w:hint="eastAsia" w:ascii="仿宋_GB2312" w:hAnsi="仿宋_GB2312" w:eastAsia="仿宋_GB2312" w:cs="仿宋_GB2312"/>
        </w:rPr>
        <w:t>第八条 从事国际联网业务的单位和个人应当接受公安机关的安全监督、检查和指导，如实向公安机关提供有关安全保护的信息、资料及数据文件，协助公安机关查处通过国际联网的计算机信息网络的违法犯罪行为。</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（五）《计算机信息网络国际联网安全保护管理办法》（1997年12月公安部令第33号，2011年1月修订)</w:t>
      </w:r>
    </w:p>
    <w:p>
      <w:pPr>
        <w:bidi w:val="0"/>
        <w:rPr>
          <w:rFonts w:hint="eastAsia" w:ascii="仿宋_GB2312" w:hAnsi="仿宋_GB2312" w:eastAsia="仿宋_GB2312" w:cs="仿宋_GB2312"/>
        </w:rPr>
      </w:pPr>
      <w:r>
        <w:rPr>
          <w:rFonts w:hint="eastAsia" w:ascii="仿宋_GB2312" w:hAnsi="仿宋_GB2312" w:eastAsia="仿宋_GB2312" w:cs="仿宋_GB2312"/>
        </w:rPr>
        <w:t>第十七条 公安机关计算机管理监察机构应当督促互联单位、接入单位及有关用户建立健全安全保护管理制度。监</w:t>
      </w:r>
      <w:r>
        <w:rPr>
          <w:rFonts w:hint="eastAsia" w:ascii="仿宋_GB2312" w:hAnsi="仿宋_GB2312" w:eastAsia="仿宋_GB2312" w:cs="仿宋_GB2312"/>
          <w:kern w:val="2"/>
          <w:sz w:val="28"/>
          <w:szCs w:val="28"/>
          <w:lang w:val="en-US" w:eastAsia="zh-CN" w:bidi="ar-SA"/>
        </w:rPr>
        <w:t>督、检查网络安全保护管理以及技术措施的落实情况。公安</w:t>
      </w:r>
      <w:r>
        <w:rPr>
          <w:rFonts w:hint="eastAsia" w:ascii="仿宋_GB2312" w:hAnsi="仿宋_GB2312" w:eastAsia="仿宋_GB2312" w:cs="仿宋_GB2312"/>
        </w:rPr>
        <w:t>机关计算机管理监察机构在组织安全检查时，有关单位应当派人参加。公安机关计算机管理监察机构对安全检查发现的问题，应当提出改进意见，作出详细记录，存档备查。</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（六）《公安机关互联网安全监督检查规定》</w:t>
      </w:r>
      <w:r>
        <w:rPr>
          <w:rFonts w:hint="eastAsia" w:ascii="楷体_GB2312" w:hAnsi="楷体_GB2312" w:eastAsia="楷体_GB2312" w:cs="楷体_GB2312"/>
          <w:b w:val="0"/>
        </w:rPr>
        <w:t>（2018年11月公安部令第151号）</w:t>
      </w:r>
    </w:p>
    <w:p>
      <w:pPr>
        <w:bidi w:val="0"/>
        <w:rPr>
          <w:rFonts w:hint="eastAsia" w:ascii="仿宋_GB2312" w:hAnsi="仿宋_GB2312" w:eastAsia="仿宋_GB2312" w:cs="仿宋_GB2312"/>
        </w:rPr>
      </w:pPr>
      <w:r>
        <w:rPr>
          <w:rFonts w:hint="eastAsia" w:ascii="仿宋_GB2312" w:hAnsi="仿宋_GB2312" w:eastAsia="仿宋_GB2312" w:cs="仿宋_GB2312"/>
        </w:rPr>
        <w:t>第九条 公安机关应当根据网络安全防范需要和网络安全风险隐患的具体情况，对下列互联网服务提供者和联网使用单位开展监督检查：</w:t>
      </w:r>
    </w:p>
    <w:p>
      <w:pPr>
        <w:bidi w:val="0"/>
        <w:rPr>
          <w:rFonts w:hint="eastAsia" w:ascii="仿宋_GB2312" w:hAnsi="仿宋_GB2312" w:eastAsia="仿宋_GB2312" w:cs="仿宋_GB2312"/>
        </w:rPr>
      </w:pPr>
      <w:r>
        <w:rPr>
          <w:rFonts w:hint="eastAsia" w:ascii="仿宋_GB2312" w:hAnsi="仿宋_GB2312" w:eastAsia="仿宋_GB2312" w:cs="仿宋_GB2312"/>
        </w:rPr>
        <w:t>（一）提供互联网接入、互联网数据中心、内容分发、域名服务的；</w:t>
      </w:r>
    </w:p>
    <w:p>
      <w:pPr>
        <w:bidi w:val="0"/>
        <w:rPr>
          <w:rFonts w:hint="eastAsia" w:ascii="仿宋_GB2312" w:hAnsi="仿宋_GB2312" w:eastAsia="仿宋_GB2312" w:cs="仿宋_GB2312"/>
        </w:rPr>
      </w:pPr>
      <w:r>
        <w:rPr>
          <w:rFonts w:hint="eastAsia" w:ascii="仿宋_GB2312" w:hAnsi="仿宋_GB2312" w:eastAsia="仿宋_GB2312" w:cs="仿宋_GB2312"/>
        </w:rPr>
        <w:t>（二）提供互联网信息服务的；</w:t>
      </w:r>
    </w:p>
    <w:p>
      <w:pPr>
        <w:bidi w:val="0"/>
        <w:rPr>
          <w:rFonts w:hint="eastAsia" w:ascii="仿宋_GB2312" w:hAnsi="仿宋_GB2312" w:eastAsia="仿宋_GB2312" w:cs="仿宋_GB2312"/>
        </w:rPr>
      </w:pPr>
      <w:r>
        <w:rPr>
          <w:rFonts w:hint="eastAsia" w:ascii="仿宋_GB2312" w:hAnsi="仿宋_GB2312" w:eastAsia="仿宋_GB2312" w:cs="仿宋_GB2312"/>
        </w:rPr>
        <w:t>（三）提供公共上网服务的；</w:t>
      </w:r>
    </w:p>
    <w:p>
      <w:pPr>
        <w:bidi w:val="0"/>
        <w:rPr>
          <w:rFonts w:hint="eastAsia" w:ascii="仿宋_GB2312" w:hAnsi="仿宋_GB2312" w:eastAsia="仿宋_GB2312" w:cs="仿宋_GB2312"/>
        </w:rPr>
      </w:pPr>
      <w:r>
        <w:rPr>
          <w:rFonts w:hint="eastAsia" w:ascii="仿宋_GB2312" w:hAnsi="仿宋_GB2312" w:eastAsia="仿宋_GB2312" w:cs="仿宋_GB2312"/>
        </w:rPr>
        <w:t>（四）提供其他互联网服务的；</w:t>
      </w:r>
    </w:p>
    <w:p>
      <w:pPr>
        <w:bidi w:val="0"/>
        <w:rPr>
          <w:rFonts w:hint="eastAsia" w:ascii="仿宋_GB2312" w:hAnsi="仿宋_GB2312" w:eastAsia="仿宋_GB2312" w:cs="仿宋_GB2312"/>
        </w:rPr>
      </w:pPr>
      <w:r>
        <w:rPr>
          <w:rFonts w:hint="eastAsia" w:ascii="仿宋_GB2312" w:hAnsi="仿宋_GB2312" w:eastAsia="仿宋_GB2312" w:cs="仿宋_GB2312"/>
        </w:rPr>
        <w:t>对开展前款规定的服务未满一年的，两年内曾发生过网络安全事件、违法犯罪案件的，或者因未履行法定网络安全义务被公安机关予以行政处罚的，应当开展重点监督检查。</w:t>
      </w:r>
    </w:p>
    <w:p>
      <w:pPr>
        <w:bidi w:val="0"/>
        <w:rPr>
          <w:rFonts w:hint="eastAsia"/>
          <w:lang w:val="en-US" w:eastAsia="zh-CN"/>
        </w:rPr>
      </w:pPr>
      <w:r>
        <w:rPr>
          <w:rFonts w:hint="eastAsia"/>
          <w:lang w:val="en-US" w:eastAsia="zh-CN"/>
        </w:rPr>
        <w:t>第十二条 在国家重大网络安全保卫任务期间，对与国家重大网络安全保卫任务相关的互联网服务提供者和联网使用单位，公安机关可以对下列内容开展专项安全监督检查：</w:t>
      </w:r>
    </w:p>
    <w:p>
      <w:pPr>
        <w:bidi w:val="0"/>
        <w:rPr>
          <w:rFonts w:hint="eastAsia"/>
          <w:lang w:val="en-US" w:eastAsia="zh-CN"/>
        </w:rPr>
      </w:pPr>
      <w:r>
        <w:rPr>
          <w:rFonts w:hint="eastAsia"/>
          <w:lang w:val="en-US" w:eastAsia="zh-CN"/>
        </w:rPr>
        <w:t>（一）是否制定重大网络安全保卫任务所要求的工作方案、明确网络安全责任分工并确定网络安全管理人员；</w:t>
      </w:r>
    </w:p>
    <w:p>
      <w:pPr>
        <w:bidi w:val="0"/>
        <w:rPr>
          <w:rFonts w:hint="eastAsia"/>
          <w:lang w:val="en-US" w:eastAsia="zh-CN"/>
        </w:rPr>
      </w:pPr>
      <w:r>
        <w:rPr>
          <w:rFonts w:hint="eastAsia"/>
          <w:lang w:val="en-US" w:eastAsia="zh-CN"/>
        </w:rPr>
        <w:t>（二）是否组织开展网络安全风险评估，并采取相应风险管控措施堵塞网络安全漏洞隐患；</w:t>
      </w:r>
    </w:p>
    <w:p>
      <w:pPr>
        <w:bidi w:val="0"/>
        <w:rPr>
          <w:rFonts w:hint="eastAsia"/>
          <w:lang w:val="en-US" w:eastAsia="zh-CN"/>
        </w:rPr>
      </w:pPr>
      <w:r>
        <w:rPr>
          <w:rFonts w:hint="eastAsia"/>
          <w:lang w:val="en-US" w:eastAsia="zh-CN"/>
        </w:rPr>
        <w:t>（三）是否制定网络安全应急处置预案并组织开展应急演练，应急处置相关设施是否完备有效；</w:t>
      </w:r>
    </w:p>
    <w:p>
      <w:pPr>
        <w:bidi w:val="0"/>
        <w:rPr>
          <w:rFonts w:hint="eastAsia"/>
          <w:lang w:val="en-US" w:eastAsia="zh-CN"/>
        </w:rPr>
      </w:pPr>
      <w:r>
        <w:rPr>
          <w:rFonts w:hint="eastAsia"/>
          <w:lang w:val="en-US" w:eastAsia="zh-CN"/>
        </w:rPr>
        <w:t>（四）是否依法采取重大网络安全保卫任务所需要的其他网络安全防范措施；</w:t>
      </w:r>
    </w:p>
    <w:p>
      <w:pPr>
        <w:bidi w:val="0"/>
        <w:rPr>
          <w:rFonts w:hint="eastAsia"/>
          <w:lang w:val="en-US" w:eastAsia="zh-CN"/>
        </w:rPr>
      </w:pPr>
      <w:r>
        <w:rPr>
          <w:rFonts w:hint="eastAsia"/>
          <w:lang w:val="en-US" w:eastAsia="zh-CN"/>
        </w:rPr>
        <w:t>（五）是否按照要求向公安机关报告网络安全防范措施及落实情况。</w:t>
      </w:r>
    </w:p>
    <w:p>
      <w:pPr>
        <w:bidi w:val="0"/>
        <w:rPr>
          <w:rFonts w:hint="eastAsia"/>
          <w:lang w:val="en-US" w:eastAsia="zh-CN"/>
        </w:rPr>
      </w:pPr>
      <w:r>
        <w:rPr>
          <w:rFonts w:hint="eastAsia"/>
          <w:lang w:val="en-US" w:eastAsia="zh-CN"/>
        </w:rPr>
        <w:t>对防范恐怖袭击的重点目标的互联网安全监督检查，按照前款规定的内容执行。</w:t>
      </w:r>
    </w:p>
    <w:p>
      <w:pPr>
        <w:ind w:left="0" w:leftChars="0" w:firstLine="0" w:firstLineChars="0"/>
      </w:pPr>
    </w:p>
    <w:sectPr>
      <w:footerReference r:id="rId3" w:type="default"/>
      <w:pgSz w:w="11906" w:h="16838"/>
      <w:pgMar w:top="2098" w:right="1474" w:bottom="1984" w:left="1587" w:header="708" w:footer="1485"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eastAsia="zh-CN"/>
                            </w:rPr>
                            <w:t xml:space="preserve">— </w:t>
                          </w:r>
                          <w:r>
                            <w:rPr>
                              <w:rFonts w:hint="default" w:ascii="Times New Roman" w:hAnsi="Times New Roman" w:eastAsia="楷体_GB2312" w:cs="Times New Roman"/>
                              <w:sz w:val="21"/>
                              <w:szCs w:val="21"/>
                              <w:lang w:eastAsia="zh-CN"/>
                            </w:rPr>
                            <w:fldChar w:fldCharType="begin"/>
                          </w:r>
                          <w:r>
                            <w:rPr>
                              <w:rFonts w:hint="default" w:ascii="Times New Roman" w:hAnsi="Times New Roman" w:eastAsia="楷体_GB2312" w:cs="Times New Roman"/>
                              <w:sz w:val="21"/>
                              <w:szCs w:val="21"/>
                              <w:lang w:eastAsia="zh-CN"/>
                            </w:rPr>
                            <w:instrText xml:space="preserve"> PAGE  \* MERGEFORMAT </w:instrText>
                          </w:r>
                          <w:r>
                            <w:rPr>
                              <w:rFonts w:hint="default" w:ascii="Times New Roman" w:hAnsi="Times New Roman" w:eastAsia="楷体_GB2312" w:cs="Times New Roman"/>
                              <w:sz w:val="21"/>
                              <w:szCs w:val="21"/>
                              <w:lang w:eastAsia="zh-CN"/>
                            </w:rPr>
                            <w:fldChar w:fldCharType="separate"/>
                          </w:r>
                          <w:r>
                            <w:rPr>
                              <w:rFonts w:hint="default" w:ascii="Times New Roman" w:hAnsi="Times New Roman" w:eastAsia="楷体_GB2312" w:cs="Times New Roman"/>
                              <w:sz w:val="21"/>
                              <w:szCs w:val="21"/>
                              <w:lang w:eastAsia="zh-CN"/>
                            </w:rPr>
                            <w:t>1</w:t>
                          </w:r>
                          <w:r>
                            <w:rPr>
                              <w:rFonts w:hint="default" w:ascii="Times New Roman" w:hAnsi="Times New Roman" w:eastAsia="楷体_GB2312" w:cs="Times New Roman"/>
                              <w:sz w:val="21"/>
                              <w:szCs w:val="21"/>
                              <w:lang w:eastAsia="zh-CN"/>
                            </w:rPr>
                            <w:fldChar w:fldCharType="end"/>
                          </w:r>
                          <w:r>
                            <w:rPr>
                              <w:rFonts w:hint="default" w:ascii="Times New Roman" w:hAnsi="Times New Roman" w:eastAsia="楷体_GB2312" w:cs="Times New Roman"/>
                              <w:sz w:val="21"/>
                              <w:szCs w:val="21"/>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default" w:ascii="Times New Roman" w:hAnsi="Times New Roman" w:eastAsia="楷体_GB2312" w:cs="Times New Roman"/>
                        <w:sz w:val="21"/>
                        <w:szCs w:val="21"/>
                        <w:lang w:eastAsia="zh-CN"/>
                      </w:rPr>
                    </w:pPr>
                    <w:r>
                      <w:rPr>
                        <w:rFonts w:hint="default" w:ascii="Times New Roman" w:hAnsi="Times New Roman" w:eastAsia="楷体_GB2312" w:cs="Times New Roman"/>
                        <w:sz w:val="21"/>
                        <w:szCs w:val="21"/>
                        <w:lang w:eastAsia="zh-CN"/>
                      </w:rPr>
                      <w:t xml:space="preserve">— </w:t>
                    </w:r>
                    <w:r>
                      <w:rPr>
                        <w:rFonts w:hint="default" w:ascii="Times New Roman" w:hAnsi="Times New Roman" w:eastAsia="楷体_GB2312" w:cs="Times New Roman"/>
                        <w:sz w:val="21"/>
                        <w:szCs w:val="21"/>
                        <w:lang w:eastAsia="zh-CN"/>
                      </w:rPr>
                      <w:fldChar w:fldCharType="begin"/>
                    </w:r>
                    <w:r>
                      <w:rPr>
                        <w:rFonts w:hint="default" w:ascii="Times New Roman" w:hAnsi="Times New Roman" w:eastAsia="楷体_GB2312" w:cs="Times New Roman"/>
                        <w:sz w:val="21"/>
                        <w:szCs w:val="21"/>
                        <w:lang w:eastAsia="zh-CN"/>
                      </w:rPr>
                      <w:instrText xml:space="preserve"> PAGE  \* MERGEFORMAT </w:instrText>
                    </w:r>
                    <w:r>
                      <w:rPr>
                        <w:rFonts w:hint="default" w:ascii="Times New Roman" w:hAnsi="Times New Roman" w:eastAsia="楷体_GB2312" w:cs="Times New Roman"/>
                        <w:sz w:val="21"/>
                        <w:szCs w:val="21"/>
                        <w:lang w:eastAsia="zh-CN"/>
                      </w:rPr>
                      <w:fldChar w:fldCharType="separate"/>
                    </w:r>
                    <w:r>
                      <w:rPr>
                        <w:rFonts w:hint="default" w:ascii="Times New Roman" w:hAnsi="Times New Roman" w:eastAsia="楷体_GB2312" w:cs="Times New Roman"/>
                        <w:sz w:val="21"/>
                        <w:szCs w:val="21"/>
                        <w:lang w:eastAsia="zh-CN"/>
                      </w:rPr>
                      <w:t>1</w:t>
                    </w:r>
                    <w:r>
                      <w:rPr>
                        <w:rFonts w:hint="default" w:ascii="Times New Roman" w:hAnsi="Times New Roman" w:eastAsia="楷体_GB2312" w:cs="Times New Roman"/>
                        <w:sz w:val="21"/>
                        <w:szCs w:val="21"/>
                        <w:lang w:eastAsia="zh-CN"/>
                      </w:rPr>
                      <w:fldChar w:fldCharType="end"/>
                    </w:r>
                    <w:r>
                      <w:rPr>
                        <w:rFonts w:hint="default" w:ascii="Times New Roman" w:hAnsi="Times New Roman" w:eastAsia="楷体_GB2312" w:cs="Times New Roman"/>
                        <w:sz w:val="21"/>
                        <w:szCs w:val="21"/>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12296"/>
    <w:rsid w:val="15C36BF2"/>
    <w:rsid w:val="16D265F2"/>
    <w:rsid w:val="273C669E"/>
    <w:rsid w:val="3AC033CC"/>
    <w:rsid w:val="40E24819"/>
    <w:rsid w:val="443B0E9D"/>
    <w:rsid w:val="45FC34B8"/>
    <w:rsid w:val="54DE74D5"/>
    <w:rsid w:val="597B523B"/>
    <w:rsid w:val="5AA44C4D"/>
    <w:rsid w:val="658C4459"/>
    <w:rsid w:val="7D317FC2"/>
    <w:rsid w:val="7D925CDD"/>
    <w:rsid w:val="7F3C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100" w:beforeLines="10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4">
    <w:name w:val="heading 2"/>
    <w:basedOn w:val="1"/>
    <w:next w:val="1"/>
    <w:qFormat/>
    <w:uiPriority w:val="0"/>
    <w:pPr>
      <w:spacing w:beforeAutospacing="0" w:afterAutospacing="0"/>
      <w:jc w:val="left"/>
      <w:outlineLvl w:val="1"/>
    </w:pPr>
    <w:rPr>
      <w:rFonts w:hint="eastAsia" w:ascii="宋体" w:hAnsi="宋体" w:eastAsia="黑体"/>
      <w:kern w:val="0"/>
      <w:szCs w:val="36"/>
    </w:rPr>
  </w:style>
  <w:style w:type="paragraph" w:styleId="5">
    <w:name w:val="heading 3"/>
    <w:basedOn w:val="1"/>
    <w:next w:val="1"/>
    <w:qFormat/>
    <w:uiPriority w:val="0"/>
    <w:pPr>
      <w:keepNext/>
      <w:keepLines/>
      <w:spacing w:beforeLines="0" w:beforeAutospacing="0" w:afterLines="0" w:afterAutospacing="0" w:line="560" w:lineRule="exact"/>
      <w:outlineLvl w:val="2"/>
    </w:pPr>
    <w:rPr>
      <w:rFonts w:ascii="Calibri" w:hAnsi="Calibri" w:eastAsia="楷体_GB2312"/>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 text|1"/>
    <w:basedOn w:val="1"/>
    <w:qFormat/>
    <w:uiPriority w:val="0"/>
    <w:pPr>
      <w:spacing w:line="319" w:lineRule="auto"/>
      <w:ind w:firstLine="400"/>
    </w:pPr>
    <w:rPr>
      <w:rFonts w:ascii="宋体" w:hAnsi="宋体" w:cs="宋体"/>
      <w:sz w:val="20"/>
      <w:szCs w:val="20"/>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2021-02-12T07:23:00Z</dcterms:created>
  <dc:creator>Administrator</dc:creator>
  <cp:lastModifiedBy>Administrator</cp:lastModifiedBy>
  <dcterms:modified xsi:type="dcterms:W3CDTF">2023-06-09T01:09:53Z</dcterms:modified>
  <dc:title>山东省公安厅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