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sz w:val="44"/>
          <w:szCs w:val="44"/>
          <w:lang w:val="en-US" w:eastAsia="zh-CN"/>
        </w:rPr>
      </w:pPr>
      <w:bookmarkStart w:id="0" w:name="_GoBack"/>
      <w:r>
        <w:rPr>
          <w:rFonts w:hint="eastAsia" w:ascii="方正小标宋简体" w:hAnsi="方正小标宋简体" w:eastAsia="方正小标宋简体" w:cs="方正小标宋简体"/>
          <w:b/>
          <w:bCs w:val="0"/>
          <w:sz w:val="44"/>
          <w:szCs w:val="44"/>
          <w:lang w:val="en-US" w:eastAsia="zh-CN"/>
        </w:rPr>
        <w:t>淄博</w:t>
      </w:r>
      <w:r>
        <w:rPr>
          <w:rFonts w:hint="eastAsia" w:ascii="方正小标宋简体" w:hAnsi="方正小标宋简体" w:eastAsia="方正小标宋简体" w:cs="方正小标宋简体"/>
          <w:b/>
          <w:bCs w:val="0"/>
          <w:sz w:val="44"/>
          <w:szCs w:val="44"/>
        </w:rPr>
        <w:t>高新</w:t>
      </w:r>
      <w:r>
        <w:rPr>
          <w:rFonts w:hint="eastAsia" w:ascii="方正小标宋简体" w:hAnsi="方正小标宋简体" w:eastAsia="方正小标宋简体" w:cs="方正小标宋简体"/>
          <w:b/>
          <w:bCs w:val="0"/>
          <w:sz w:val="44"/>
          <w:szCs w:val="44"/>
          <w:lang w:eastAsia="zh-CN"/>
        </w:rPr>
        <w:t>技术产业开发区</w:t>
      </w:r>
      <w:r>
        <w:rPr>
          <w:rFonts w:hint="eastAsia" w:ascii="方正小标宋简体" w:hAnsi="方正小标宋简体" w:eastAsia="方正小标宋简体" w:cs="方正小标宋简体"/>
          <w:b/>
          <w:bCs w:val="0"/>
          <w:sz w:val="44"/>
          <w:szCs w:val="44"/>
          <w:lang w:val="en-US" w:eastAsia="zh-CN"/>
        </w:rPr>
        <w:t>财政金融局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bCs w:val="0"/>
          <w:sz w:val="44"/>
          <w:szCs w:val="44"/>
        </w:rPr>
      </w:pPr>
      <w:r>
        <w:rPr>
          <w:rFonts w:hint="default" w:ascii="Times New Roman" w:hAnsi="Times New Roman" w:eastAsia="方正小标宋简体" w:cs="Times New Roman"/>
          <w:b/>
          <w:bCs w:val="0"/>
          <w:sz w:val="44"/>
          <w:szCs w:val="44"/>
          <w:lang w:val="en-US" w:eastAsia="zh-CN"/>
        </w:rPr>
        <w:t>202</w:t>
      </w:r>
      <w:r>
        <w:rPr>
          <w:rFonts w:hint="eastAsia" w:ascii="Times New Roman" w:hAnsi="Times New Roman" w:eastAsia="方正小标宋简体" w:cs="Times New Roman"/>
          <w:b/>
          <w:bCs w:val="0"/>
          <w:sz w:val="44"/>
          <w:szCs w:val="44"/>
          <w:lang w:val="en-US" w:eastAsia="zh-CN"/>
        </w:rPr>
        <w:t>3</w:t>
      </w:r>
      <w:r>
        <w:rPr>
          <w:rFonts w:hint="eastAsia" w:ascii="方正小标宋简体" w:hAnsi="方正小标宋简体" w:eastAsia="方正小标宋简体" w:cs="方正小标宋简体"/>
          <w:b/>
          <w:bCs w:val="0"/>
          <w:sz w:val="44"/>
          <w:szCs w:val="44"/>
        </w:rPr>
        <w:t>年度政府信息公开</w:t>
      </w:r>
      <w:r>
        <w:rPr>
          <w:rFonts w:hint="eastAsia" w:ascii="方正小标宋简体" w:hAnsi="方正小标宋简体" w:eastAsia="方正小标宋简体" w:cs="方正小标宋简体"/>
          <w:b/>
          <w:bCs w:val="0"/>
          <w:sz w:val="44"/>
          <w:szCs w:val="44"/>
          <w:lang w:val="en-US" w:eastAsia="zh-CN"/>
        </w:rPr>
        <w:t>工作</w:t>
      </w:r>
      <w:r>
        <w:rPr>
          <w:rFonts w:hint="eastAsia" w:ascii="方正小标宋简体" w:hAnsi="方正小标宋简体" w:eastAsia="方正小标宋简体" w:cs="方正小标宋简体"/>
          <w:b/>
          <w:bCs w:val="0"/>
          <w:sz w:val="44"/>
          <w:szCs w:val="44"/>
        </w:rPr>
        <w:t>年度报告</w:t>
      </w:r>
    </w:p>
    <w:bookmarkEnd w:id="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19"/>
          <w:szCs w:val="19"/>
        </w:rPr>
      </w:pPr>
      <w:r>
        <w:rPr>
          <w:rFonts w:hint="eastAsia" w:ascii="仿宋_GB2312" w:hAnsi="仿宋_GB2312" w:eastAsia="仿宋_GB2312" w:cs="仿宋_GB2312"/>
          <w:i w:val="0"/>
          <w:iCs w:val="0"/>
          <w:caps w:val="0"/>
          <w:color w:val="000000"/>
          <w:spacing w:val="0"/>
          <w:sz w:val="32"/>
          <w:szCs w:val="32"/>
          <w:shd w:val="clear" w:fill="FFFFFF"/>
        </w:rPr>
        <w:t>本</w:t>
      </w:r>
      <w:r>
        <w:rPr>
          <w:rFonts w:hint="eastAsia" w:ascii="仿宋_GB2312" w:hAnsi="仿宋_GB2312" w:eastAsia="仿宋_GB2312" w:cs="仿宋_GB2312"/>
          <w:i w:val="0"/>
          <w:iCs w:val="0"/>
          <w:caps w:val="0"/>
          <w:color w:val="000000"/>
          <w:spacing w:val="0"/>
          <w:sz w:val="32"/>
          <w:szCs w:val="32"/>
          <w:shd w:val="clear" w:fill="FFFFFF"/>
          <w:lang w:val="en-US" w:eastAsia="zh-CN"/>
        </w:rPr>
        <w:t>年度</w:t>
      </w:r>
      <w:r>
        <w:rPr>
          <w:rFonts w:hint="eastAsia" w:ascii="仿宋_GB2312" w:hAnsi="仿宋_GB2312" w:eastAsia="仿宋_GB2312" w:cs="仿宋_GB2312"/>
          <w:i w:val="0"/>
          <w:iCs w:val="0"/>
          <w:caps w:val="0"/>
          <w:color w:val="000000"/>
          <w:spacing w:val="0"/>
          <w:sz w:val="32"/>
          <w:szCs w:val="32"/>
          <w:shd w:val="clear" w:fill="FFFFFF"/>
        </w:rPr>
        <w:t>报告中所列数据的统计期限自</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月</w:t>
      </w:r>
      <w:r>
        <w:rPr>
          <w:rFonts w:hint="default" w:ascii="Times New Roman" w:hAnsi="Times New Roman" w:eastAsia="仿宋_GB2312" w:cs="Times New Roman"/>
          <w:i w:val="0"/>
          <w:iCs w:val="0"/>
          <w:caps w:val="0"/>
          <w:color w:val="000000"/>
          <w:spacing w:val="0"/>
          <w:sz w:val="32"/>
          <w:szCs w:val="32"/>
          <w:shd w:val="clear" w:fill="FFFFFF"/>
        </w:rPr>
        <w:t>1</w:t>
      </w:r>
      <w:r>
        <w:rPr>
          <w:rFonts w:hint="eastAsia" w:ascii="仿宋_GB2312" w:hAnsi="仿宋_GB2312" w:eastAsia="仿宋_GB2312" w:cs="仿宋_GB2312"/>
          <w:i w:val="0"/>
          <w:iCs w:val="0"/>
          <w:caps w:val="0"/>
          <w:color w:val="000000"/>
          <w:spacing w:val="0"/>
          <w:sz w:val="32"/>
          <w:szCs w:val="32"/>
          <w:shd w:val="clear" w:fill="FFFFFF"/>
        </w:rPr>
        <w:t>日起，至</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rPr>
        <w:t>12</w:t>
      </w:r>
      <w:r>
        <w:rPr>
          <w:rFonts w:hint="eastAsia" w:ascii="仿宋_GB2312" w:hAnsi="仿宋_GB2312" w:eastAsia="仿宋_GB2312" w:cs="仿宋_GB2312"/>
          <w:i w:val="0"/>
          <w:iCs w:val="0"/>
          <w:caps w:val="0"/>
          <w:color w:val="000000"/>
          <w:spacing w:val="0"/>
          <w:sz w:val="32"/>
          <w:szCs w:val="32"/>
          <w:shd w:val="clear" w:fill="FFFFFF"/>
        </w:rPr>
        <w:t>月</w:t>
      </w:r>
      <w:r>
        <w:rPr>
          <w:rFonts w:hint="default" w:ascii="Times New Roman" w:hAnsi="Times New Roman" w:eastAsia="仿宋_GB2312" w:cs="Times New Roman"/>
          <w:i w:val="0"/>
          <w:iCs w:val="0"/>
          <w:caps w:val="0"/>
          <w:color w:val="000000"/>
          <w:spacing w:val="0"/>
          <w:sz w:val="32"/>
          <w:szCs w:val="32"/>
          <w:shd w:val="clear" w:fill="FFFFFF"/>
        </w:rPr>
        <w:t>31</w:t>
      </w:r>
      <w:r>
        <w:rPr>
          <w:rFonts w:hint="eastAsia" w:ascii="仿宋_GB2312" w:hAnsi="仿宋_GB2312" w:eastAsia="仿宋_GB2312" w:cs="仿宋_GB2312"/>
          <w:i w:val="0"/>
          <w:iCs w:val="0"/>
          <w:caps w:val="0"/>
          <w:color w:val="000000"/>
          <w:spacing w:val="0"/>
          <w:sz w:val="32"/>
          <w:szCs w:val="32"/>
          <w:shd w:val="clear" w:fill="FFFFFF"/>
        </w:rPr>
        <w:t>日止。如对本报告有疑问，请与淄博高新区</w:t>
      </w:r>
      <w:r>
        <w:rPr>
          <w:rFonts w:hint="eastAsia" w:ascii="仿宋_GB2312" w:hAnsi="仿宋_GB2312" w:eastAsia="仿宋_GB2312" w:cs="仿宋_GB2312"/>
          <w:i w:val="0"/>
          <w:iCs w:val="0"/>
          <w:caps w:val="0"/>
          <w:color w:val="000000"/>
          <w:spacing w:val="0"/>
          <w:sz w:val="32"/>
          <w:szCs w:val="32"/>
          <w:shd w:val="clear" w:fill="FFFFFF"/>
          <w:lang w:val="en-US" w:eastAsia="zh-CN"/>
        </w:rPr>
        <w:t>财政金融局</w:t>
      </w:r>
      <w:r>
        <w:rPr>
          <w:rFonts w:hint="eastAsia" w:ascii="仿宋_GB2312" w:hAnsi="仿宋_GB2312" w:eastAsia="仿宋_GB2312" w:cs="仿宋_GB2312"/>
          <w:i w:val="0"/>
          <w:iCs w:val="0"/>
          <w:caps w:val="0"/>
          <w:color w:val="000000"/>
          <w:spacing w:val="0"/>
          <w:sz w:val="32"/>
          <w:szCs w:val="32"/>
          <w:shd w:val="clear" w:fill="FFFFFF"/>
        </w:rPr>
        <w:t>联系（地址：淄博高新区</w:t>
      </w:r>
      <w:r>
        <w:rPr>
          <w:rFonts w:hint="eastAsia" w:ascii="仿宋_GB2312" w:hAnsi="仿宋_GB2312" w:eastAsia="仿宋_GB2312" w:cs="仿宋_GB2312"/>
          <w:i w:val="0"/>
          <w:iCs w:val="0"/>
          <w:caps w:val="0"/>
          <w:color w:val="000000"/>
          <w:spacing w:val="0"/>
          <w:sz w:val="32"/>
          <w:szCs w:val="32"/>
          <w:shd w:val="clear" w:fill="FFFFFF"/>
          <w:lang w:val="en-US" w:eastAsia="zh-CN"/>
        </w:rPr>
        <w:t>柳泉路</w:t>
      </w:r>
      <w:r>
        <w:rPr>
          <w:rFonts w:hint="default" w:ascii="Times New Roman" w:hAnsi="Times New Roman" w:eastAsia="仿宋_GB2312" w:cs="Times New Roman"/>
          <w:i w:val="0"/>
          <w:iCs w:val="0"/>
          <w:caps w:val="0"/>
          <w:color w:val="000000"/>
          <w:spacing w:val="0"/>
          <w:sz w:val="32"/>
          <w:szCs w:val="32"/>
          <w:shd w:val="clear" w:fill="FFFFFF"/>
          <w:lang w:val="en-US" w:eastAsia="zh-CN"/>
        </w:rPr>
        <w:t>306</w:t>
      </w:r>
      <w:r>
        <w:rPr>
          <w:rFonts w:hint="eastAsia" w:ascii="仿宋_GB2312" w:hAnsi="仿宋_GB2312" w:eastAsia="仿宋_GB2312" w:cs="仿宋_GB2312"/>
          <w:i w:val="0"/>
          <w:iCs w:val="0"/>
          <w:caps w:val="0"/>
          <w:color w:val="000000"/>
          <w:spacing w:val="0"/>
          <w:sz w:val="32"/>
          <w:szCs w:val="32"/>
          <w:shd w:val="clear" w:fill="FFFFFF"/>
          <w:lang w:val="en-US" w:eastAsia="zh-CN"/>
        </w:rPr>
        <w:t>号</w:t>
      </w:r>
      <w:r>
        <w:rPr>
          <w:rFonts w:hint="default" w:ascii="Times New Roman" w:hAnsi="Times New Roman" w:eastAsia="仿宋_GB2312" w:cs="Times New Roman"/>
          <w:i w:val="0"/>
          <w:iCs w:val="0"/>
          <w:caps w:val="0"/>
          <w:color w:val="000000"/>
          <w:spacing w:val="0"/>
          <w:sz w:val="32"/>
          <w:szCs w:val="32"/>
          <w:shd w:val="clear" w:fill="FFFFFF"/>
          <w:lang w:val="en-US" w:eastAsia="zh-CN"/>
        </w:rPr>
        <w:t>1002</w:t>
      </w:r>
      <w:r>
        <w:rPr>
          <w:rFonts w:hint="eastAsia" w:ascii="仿宋_GB2312" w:hAnsi="仿宋_GB2312" w:eastAsia="仿宋_GB2312" w:cs="仿宋_GB2312"/>
          <w:i w:val="0"/>
          <w:iCs w:val="0"/>
          <w:caps w:val="0"/>
          <w:color w:val="000000"/>
          <w:spacing w:val="0"/>
          <w:sz w:val="32"/>
          <w:szCs w:val="32"/>
          <w:shd w:val="clear" w:fill="FFFFFF"/>
        </w:rPr>
        <w:t>室；</w:t>
      </w:r>
      <w:r>
        <w:rPr>
          <w:rFonts w:hint="eastAsia" w:ascii="仿宋_GB2312" w:hAnsi="仿宋_GB2312" w:eastAsia="仿宋_GB2312" w:cs="仿宋_GB2312"/>
          <w:i w:val="0"/>
          <w:iCs w:val="0"/>
          <w:caps w:val="0"/>
          <w:color w:val="000000"/>
          <w:spacing w:val="0"/>
          <w:sz w:val="32"/>
          <w:szCs w:val="32"/>
          <w:shd w:val="clear" w:fill="FFFFFF"/>
          <w:lang w:val="en-US" w:eastAsia="zh-CN"/>
        </w:rPr>
        <w:t>邮编：</w:t>
      </w:r>
      <w:r>
        <w:rPr>
          <w:rFonts w:hint="default" w:ascii="Times New Roman" w:hAnsi="Times New Roman" w:eastAsia="仿宋_GB2312" w:cs="Times New Roman"/>
          <w:i w:val="0"/>
          <w:iCs w:val="0"/>
          <w:caps w:val="0"/>
          <w:color w:val="000000"/>
          <w:spacing w:val="0"/>
          <w:sz w:val="32"/>
          <w:szCs w:val="32"/>
          <w:shd w:val="clear" w:fill="FFFFFF"/>
          <w:lang w:val="en-US" w:eastAsia="zh-CN"/>
        </w:rPr>
        <w:t>255035</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联系电话：</w:t>
      </w:r>
      <w:r>
        <w:rPr>
          <w:rFonts w:hint="default" w:ascii="Times New Roman" w:hAnsi="Times New Roman" w:eastAsia="仿宋_GB2312" w:cs="Times New Roman"/>
          <w:i w:val="0"/>
          <w:iCs w:val="0"/>
          <w:caps w:val="0"/>
          <w:color w:val="000000"/>
          <w:spacing w:val="0"/>
          <w:sz w:val="32"/>
          <w:szCs w:val="32"/>
          <w:shd w:val="clear" w:fill="FFFFFF"/>
        </w:rPr>
        <w:t>0533</w:t>
      </w:r>
      <w:r>
        <w:rPr>
          <w:rFonts w:hint="eastAsia" w:ascii="仿宋_GB2312" w:hAnsi="仿宋_GB2312" w:eastAsia="仿宋_GB2312" w:cs="仿宋_GB2312"/>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rPr>
        <w:t>358</w:t>
      </w:r>
      <w:r>
        <w:rPr>
          <w:rFonts w:hint="default" w:ascii="Times New Roman" w:hAnsi="Times New Roman" w:eastAsia="仿宋_GB2312" w:cs="Times New Roman"/>
          <w:i w:val="0"/>
          <w:iCs w:val="0"/>
          <w:caps w:val="0"/>
          <w:color w:val="000000"/>
          <w:spacing w:val="0"/>
          <w:sz w:val="32"/>
          <w:szCs w:val="32"/>
          <w:shd w:val="clear" w:fill="FFFFFF"/>
          <w:lang w:val="en-US" w:eastAsia="zh-CN"/>
        </w:rPr>
        <w:t>0688</w:t>
      </w:r>
      <w:r>
        <w:rPr>
          <w:rFonts w:hint="eastAsia" w:ascii="Times New Roman" w:hAnsi="Times New Roman" w:eastAsia="仿宋_GB2312" w:cs="Times New Roman"/>
          <w:i w:val="0"/>
          <w:iCs w:val="0"/>
          <w:caps w:val="0"/>
          <w:color w:val="000000"/>
          <w:spacing w:val="0"/>
          <w:sz w:val="32"/>
          <w:szCs w:val="32"/>
          <w:shd w:val="clear" w:fill="FFFFFF"/>
          <w:lang w:val="en-US" w:eastAsia="zh-CN"/>
        </w:rPr>
        <w:t>；邮箱：gxqczj@zb.shandong.cn</w:t>
      </w:r>
      <w:r>
        <w:rPr>
          <w:rFonts w:hint="eastAsia" w:ascii="仿宋_GB2312" w:hAnsi="仿宋_GB2312" w:eastAsia="仿宋_GB2312" w:cs="仿宋_GB2312"/>
          <w:i w:val="0"/>
          <w:iCs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年，淄博高新区</w:t>
      </w:r>
      <w:r>
        <w:rPr>
          <w:rFonts w:hint="eastAsia" w:ascii="仿宋_GB2312" w:hAnsi="仿宋_GB2312" w:eastAsia="仿宋_GB2312" w:cs="仿宋_GB2312"/>
          <w:i w:val="0"/>
          <w:iCs w:val="0"/>
          <w:caps w:val="0"/>
          <w:color w:val="000000"/>
          <w:spacing w:val="0"/>
          <w:sz w:val="32"/>
          <w:szCs w:val="32"/>
          <w:shd w:val="clear" w:fill="FFFFFF"/>
          <w:lang w:val="en-US" w:eastAsia="zh-CN"/>
        </w:rPr>
        <w:t>财政金融局</w:t>
      </w:r>
      <w:r>
        <w:rPr>
          <w:rFonts w:hint="eastAsia" w:ascii="仿宋_GB2312" w:hAnsi="仿宋_GB2312" w:eastAsia="仿宋_GB2312" w:cs="仿宋_GB2312"/>
          <w:i w:val="0"/>
          <w:iCs w:val="0"/>
          <w:caps w:val="0"/>
          <w:color w:val="000000"/>
          <w:spacing w:val="0"/>
          <w:sz w:val="32"/>
          <w:szCs w:val="32"/>
          <w:shd w:val="clear" w:fill="FFFFFF"/>
        </w:rPr>
        <w:t>认真贯彻落实</w:t>
      </w:r>
      <w:r>
        <w:rPr>
          <w:rFonts w:hint="eastAsia" w:ascii="仿宋_GB2312" w:hAnsi="仿宋_GB2312" w:eastAsia="仿宋_GB2312" w:cs="仿宋_GB2312"/>
          <w:i w:val="0"/>
          <w:iCs w:val="0"/>
          <w:caps w:val="0"/>
          <w:color w:val="000000"/>
          <w:spacing w:val="0"/>
          <w:sz w:val="32"/>
          <w:szCs w:val="32"/>
          <w:shd w:val="clear" w:fill="FFFFFF"/>
          <w:lang w:val="en-US" w:eastAsia="zh-CN"/>
        </w:rPr>
        <w:t>国务院、</w:t>
      </w:r>
      <w:r>
        <w:rPr>
          <w:rFonts w:hint="eastAsia" w:ascii="仿宋_GB2312" w:hAnsi="仿宋_GB2312" w:eastAsia="仿宋_GB2312" w:cs="仿宋_GB2312"/>
          <w:i w:val="0"/>
          <w:iCs w:val="0"/>
          <w:caps w:val="0"/>
          <w:color w:val="000000"/>
          <w:spacing w:val="0"/>
          <w:sz w:val="32"/>
          <w:szCs w:val="32"/>
          <w:shd w:val="clear" w:fill="FFFFFF"/>
        </w:rPr>
        <w:t>省、市和高新区关于全面推进政务公开工作的部署要求，以拓展政务公开领域、充分保障人民群众知情权、参与权、表达权和监督权为目标，以抓基层夯基础、抓重点求突破、抓典型带全局为主线，深入扎实开展并进一步规范政务公开工作，有力推动了政务信息公开工作规范化、制度化运行。现将有关情况报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ascii="楷体" w:hAnsi="楷体" w:eastAsia="楷体" w:cs="楷体"/>
          <w:b/>
          <w:bCs/>
          <w:i w:val="0"/>
          <w:iCs w:val="0"/>
          <w:caps w:val="0"/>
          <w:color w:val="000000"/>
          <w:spacing w:val="0"/>
          <w:sz w:val="32"/>
          <w:szCs w:val="32"/>
        </w:rPr>
        <w:t>（一）主动公开。</w:t>
      </w:r>
      <w:r>
        <w:rPr>
          <w:rFonts w:hint="eastAsia" w:ascii="仿宋_GB2312" w:hAnsi="仿宋_GB2312" w:eastAsia="仿宋_GB2312" w:cs="仿宋_GB2312"/>
          <w:i w:val="0"/>
          <w:iCs w:val="0"/>
          <w:caps w:val="0"/>
          <w:color w:val="000000"/>
          <w:spacing w:val="0"/>
          <w:sz w:val="32"/>
          <w:szCs w:val="32"/>
          <w:shd w:val="clear" w:fill="FFFFFF"/>
        </w:rPr>
        <w:t>调整充实政府信息公开工作领导小组，不定期召开政府信息公开工作会议，健全完善主动公开制度、重大决策公开制度、政府信息及时发布制度，形成纵向到底、横向到边、上下联动、整体推进的工作体系，构建了工作有部署、实施有检查、年终有考核、违规违纪有责任追究的工作机制。</w:t>
      </w: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年，淄博高新区</w:t>
      </w:r>
      <w:r>
        <w:rPr>
          <w:rFonts w:hint="eastAsia" w:ascii="仿宋_GB2312" w:hAnsi="仿宋_GB2312" w:eastAsia="仿宋_GB2312" w:cs="仿宋_GB2312"/>
          <w:i w:val="0"/>
          <w:iCs w:val="0"/>
          <w:caps w:val="0"/>
          <w:color w:val="000000"/>
          <w:spacing w:val="0"/>
          <w:sz w:val="32"/>
          <w:szCs w:val="32"/>
          <w:shd w:val="clear" w:fill="FFFFFF"/>
          <w:lang w:val="en-US" w:eastAsia="zh-CN"/>
        </w:rPr>
        <w:t>财政金融局</w:t>
      </w:r>
      <w:r>
        <w:rPr>
          <w:rFonts w:hint="eastAsia" w:ascii="仿宋_GB2312" w:hAnsi="仿宋_GB2312" w:eastAsia="仿宋_GB2312" w:cs="仿宋_GB2312"/>
          <w:i w:val="0"/>
          <w:iCs w:val="0"/>
          <w:caps w:val="0"/>
          <w:color w:val="000000"/>
          <w:spacing w:val="0"/>
          <w:sz w:val="32"/>
          <w:szCs w:val="32"/>
          <w:shd w:val="clear" w:fill="FFFFFF"/>
        </w:rPr>
        <w:t>共主动公开政府信息</w:t>
      </w:r>
      <w:r>
        <w:rPr>
          <w:rFonts w:hint="default" w:ascii="Times New Roman" w:hAnsi="Times New Roman" w:eastAsia="仿宋_GB2312"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lang w:val="en-US" w:eastAsia="zh-CN"/>
        </w:rPr>
        <w:t>80</w:t>
      </w:r>
      <w:r>
        <w:rPr>
          <w:rFonts w:hint="eastAsia" w:ascii="仿宋_GB2312" w:hAnsi="仿宋_GB2312" w:eastAsia="仿宋_GB2312" w:cs="仿宋_GB2312"/>
          <w:i w:val="0"/>
          <w:iCs w:val="0"/>
          <w:caps w:val="0"/>
          <w:color w:val="000000"/>
          <w:spacing w:val="0"/>
          <w:sz w:val="32"/>
          <w:szCs w:val="32"/>
          <w:shd w:val="clear" w:fill="FFFFFF"/>
          <w:lang w:val="en-US" w:eastAsia="zh-CN"/>
        </w:rPr>
        <w:t>条，比上年度增长</w:t>
      </w:r>
      <w:r>
        <w:rPr>
          <w:rFonts w:hint="default" w:ascii="Times New Roman" w:hAnsi="Times New Roman" w:eastAsia="仿宋_GB2312" w:cs="Times New Roman"/>
          <w:i w:val="0"/>
          <w:iCs w:val="0"/>
          <w:caps w:val="0"/>
          <w:color w:val="000000"/>
          <w:spacing w:val="0"/>
          <w:sz w:val="32"/>
          <w:szCs w:val="32"/>
          <w:shd w:val="clear" w:fill="FFFFFF"/>
          <w:lang w:val="en-US" w:eastAsia="zh-CN"/>
        </w:rPr>
        <w:t>17.6%</w:t>
      </w:r>
      <w:r>
        <w:rPr>
          <w:rFonts w:hint="eastAsia" w:ascii="仿宋_GB2312" w:hAnsi="仿宋_GB2312" w:eastAsia="仿宋_GB2312" w:cs="仿宋_GB2312"/>
          <w:i w:val="0"/>
          <w:iCs w:val="0"/>
          <w:caps w:val="0"/>
          <w:color w:val="000000"/>
          <w:spacing w:val="0"/>
          <w:sz w:val="32"/>
          <w:szCs w:val="32"/>
          <w:shd w:val="clear" w:fill="FFFFFF"/>
        </w:rPr>
        <w:t>。其中财政收支信息</w:t>
      </w:r>
      <w:r>
        <w:rPr>
          <w:rFonts w:hint="default" w:ascii="Times New Roman" w:hAnsi="Times New Roman" w:eastAsia="仿宋_GB2312"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条、政府债务信息</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条、政府采购实施情况</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0</w:t>
      </w:r>
      <w:r>
        <w:rPr>
          <w:rFonts w:hint="eastAsia" w:ascii="仿宋_GB2312" w:hAnsi="仿宋_GB2312" w:eastAsia="仿宋_GB2312" w:cs="仿宋_GB2312"/>
          <w:i w:val="0"/>
          <w:iCs w:val="0"/>
          <w:caps w:val="0"/>
          <w:color w:val="000000"/>
          <w:spacing w:val="0"/>
          <w:sz w:val="32"/>
          <w:szCs w:val="32"/>
          <w:shd w:val="clear" w:fill="FFFFFF"/>
        </w:rPr>
        <w:t>条、财政资金直达基层</w:t>
      </w:r>
      <w:r>
        <w:rPr>
          <w:rFonts w:hint="default" w:ascii="Times New Roman" w:hAnsi="Times New Roman" w:eastAsia="仿宋_GB2312"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lang w:val="en-US" w:eastAsia="zh-CN"/>
        </w:rPr>
        <w:t>7</w:t>
      </w:r>
      <w:r>
        <w:rPr>
          <w:rFonts w:hint="eastAsia" w:ascii="仿宋_GB2312" w:hAnsi="仿宋_GB2312" w:eastAsia="仿宋_GB2312" w:cs="仿宋_GB2312"/>
          <w:i w:val="0"/>
          <w:iCs w:val="0"/>
          <w:caps w:val="0"/>
          <w:color w:val="000000"/>
          <w:spacing w:val="0"/>
          <w:sz w:val="32"/>
          <w:szCs w:val="32"/>
          <w:shd w:val="clear" w:fill="FFFFFF"/>
        </w:rPr>
        <w:t>条、减税降费</w:t>
      </w:r>
      <w:r>
        <w:rPr>
          <w:rFonts w:hint="default" w:ascii="Times New Roman" w:hAnsi="Times New Roman" w:eastAsia="仿宋_GB2312" w:cs="Times New Roman"/>
          <w:i w:val="0"/>
          <w:iCs w:val="0"/>
          <w:caps w:val="0"/>
          <w:color w:val="000000"/>
          <w:spacing w:val="0"/>
          <w:sz w:val="32"/>
          <w:szCs w:val="32"/>
          <w:shd w:val="clear" w:fill="FFFFFF"/>
          <w:lang w:val="en-US" w:eastAsia="zh-CN"/>
        </w:rPr>
        <w:t>60</w:t>
      </w:r>
      <w:r>
        <w:rPr>
          <w:rFonts w:hint="eastAsia" w:ascii="仿宋_GB2312" w:hAnsi="仿宋_GB2312" w:eastAsia="仿宋_GB2312" w:cs="仿宋_GB2312"/>
          <w:i w:val="0"/>
          <w:iCs w:val="0"/>
          <w:caps w:val="0"/>
          <w:color w:val="000000"/>
          <w:spacing w:val="0"/>
          <w:sz w:val="32"/>
          <w:szCs w:val="32"/>
          <w:shd w:val="clear" w:fill="FFFFFF"/>
        </w:rPr>
        <w:t>条，其他类型信息</w:t>
      </w:r>
      <w:r>
        <w:rPr>
          <w:rFonts w:hint="default" w:ascii="Times New Roman" w:hAnsi="Times New Roman" w:eastAsia="仿宋_GB2312" w:cs="Times New Roman"/>
          <w:i w:val="0"/>
          <w:iCs w:val="0"/>
          <w:caps w:val="0"/>
          <w:color w:val="000000"/>
          <w:spacing w:val="0"/>
          <w:sz w:val="32"/>
          <w:szCs w:val="32"/>
          <w:shd w:val="clear" w:fill="FFFFFF"/>
          <w:lang w:val="en-US" w:eastAsia="zh-CN"/>
        </w:rPr>
        <w:t>54</w:t>
      </w:r>
      <w:r>
        <w:rPr>
          <w:rFonts w:hint="eastAsia" w:ascii="仿宋_GB2312" w:hAnsi="仿宋_GB2312" w:eastAsia="仿宋_GB2312" w:cs="仿宋_GB2312"/>
          <w:i w:val="0"/>
          <w:iCs w:val="0"/>
          <w:caps w:val="0"/>
          <w:color w:val="000000"/>
          <w:spacing w:val="0"/>
          <w:sz w:val="32"/>
          <w:szCs w:val="32"/>
          <w:shd w:val="clear" w:fill="FFFFFF"/>
        </w:rPr>
        <w:t>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Times New Roman" w:hAnsi="Times New Roman" w:eastAsia="仿宋_GB2312" w:cs="Times New Roman"/>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rPr>
        <w:t>（二）依申请公开。</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年度，我部门未收到政府信息公开申请</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未收到因信息公开引发的行政复议和行政诉讼</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rPr>
        <w:t>（三）政府信息管理。</w:t>
      </w:r>
      <w:r>
        <w:rPr>
          <w:rFonts w:hint="eastAsia" w:ascii="仿宋_GB2312" w:hAnsi="仿宋_GB2312" w:eastAsia="仿宋_GB2312" w:cs="仿宋_GB2312"/>
          <w:b/>
          <w:bCs/>
          <w:i w:val="0"/>
          <w:iCs w:val="0"/>
          <w:caps w:val="0"/>
          <w:color w:val="000000"/>
          <w:spacing w:val="0"/>
          <w:sz w:val="32"/>
          <w:szCs w:val="32"/>
          <w:shd w:val="clear" w:fill="FFFFFF"/>
          <w:lang w:val="en-US" w:eastAsia="zh-CN"/>
        </w:rPr>
        <w:t>一是</w:t>
      </w:r>
      <w:r>
        <w:rPr>
          <w:rFonts w:hint="eastAsia" w:ascii="仿宋_GB2312" w:hAnsi="仿宋_GB2312" w:eastAsia="仿宋_GB2312" w:cs="仿宋_GB2312"/>
          <w:i w:val="0"/>
          <w:iCs w:val="0"/>
          <w:caps w:val="0"/>
          <w:color w:val="000000"/>
          <w:spacing w:val="0"/>
          <w:sz w:val="32"/>
          <w:szCs w:val="32"/>
          <w:shd w:val="clear" w:fill="FFFFFF"/>
        </w:rPr>
        <w:t>建立了针对政府信息公开的考核制度和考核方法，要求涉及到政府信息公开的各业务科室每个科室都设立一名专门负责政府信息公开的专员，负责相关栏目版块内容的日常更新工作。</w:t>
      </w:r>
      <w:r>
        <w:rPr>
          <w:rFonts w:hint="eastAsia" w:ascii="仿宋_GB2312" w:hAnsi="仿宋_GB2312" w:eastAsia="仿宋_GB2312" w:cs="仿宋_GB2312"/>
          <w:i w:val="0"/>
          <w:iCs w:val="0"/>
          <w:caps w:val="0"/>
          <w:color w:val="000000"/>
          <w:spacing w:val="0"/>
          <w:sz w:val="32"/>
          <w:szCs w:val="32"/>
          <w:shd w:val="clear" w:fill="FFFFFF"/>
          <w:lang w:val="en-US" w:eastAsia="zh-CN"/>
        </w:rPr>
        <w:t>二</w:t>
      </w:r>
      <w:r>
        <w:rPr>
          <w:rFonts w:hint="eastAsia" w:ascii="仿宋_GB2312" w:hAnsi="仿宋_GB2312" w:eastAsia="仿宋_GB2312" w:cs="仿宋_GB2312"/>
          <w:b/>
          <w:bCs/>
          <w:i w:val="0"/>
          <w:iCs w:val="0"/>
          <w:caps w:val="0"/>
          <w:color w:val="000000"/>
          <w:spacing w:val="0"/>
          <w:sz w:val="32"/>
          <w:szCs w:val="32"/>
          <w:shd w:val="clear" w:fill="FFFFFF"/>
          <w:lang w:val="en-US" w:eastAsia="zh-CN"/>
        </w:rPr>
        <w:t>是</w:t>
      </w:r>
      <w:r>
        <w:rPr>
          <w:rFonts w:hint="eastAsia" w:ascii="仿宋_GB2312" w:hAnsi="仿宋_GB2312" w:eastAsia="仿宋_GB2312" w:cs="仿宋_GB2312"/>
          <w:i w:val="0"/>
          <w:iCs w:val="0"/>
          <w:caps w:val="0"/>
          <w:color w:val="000000"/>
          <w:spacing w:val="0"/>
          <w:sz w:val="32"/>
          <w:szCs w:val="32"/>
          <w:shd w:val="clear" w:fill="FFFFFF"/>
        </w:rPr>
        <w:t>完善审核检查机制，指定了一名专人定期对政府信息公开平台进行检查，督促各科室严格按照时间节点保质保量地更新相关内容</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对时效性内容及时更改</w:t>
      </w:r>
      <w:r>
        <w:rPr>
          <w:rFonts w:hint="eastAsia" w:ascii="仿宋_GB2312" w:hAnsi="仿宋_GB2312" w:eastAsia="仿宋_GB2312" w:cs="仿宋_GB2312"/>
          <w:i w:val="0"/>
          <w:iCs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rPr>
        <w:t>（四）政府信息公开平台建设。</w:t>
      </w:r>
      <w:r>
        <w:rPr>
          <w:rFonts w:hint="eastAsia" w:ascii="仿宋_GB2312" w:hAnsi="仿宋_GB2312" w:eastAsia="仿宋_GB2312" w:cs="仿宋_GB2312"/>
          <w:i w:val="0"/>
          <w:iCs w:val="0"/>
          <w:caps w:val="0"/>
          <w:color w:val="000000"/>
          <w:spacing w:val="0"/>
          <w:sz w:val="32"/>
          <w:szCs w:val="32"/>
          <w:shd w:val="clear" w:fill="FFFFFF"/>
        </w:rPr>
        <w:t>按照</w:t>
      </w:r>
      <w:r>
        <w:rPr>
          <w:rFonts w:hint="eastAsia" w:ascii="仿宋_GB2312" w:hAnsi="仿宋_GB2312" w:eastAsia="仿宋_GB2312" w:cs="仿宋_GB2312"/>
          <w:i w:val="0"/>
          <w:iCs w:val="0"/>
          <w:caps w:val="0"/>
          <w:color w:val="000000"/>
          <w:spacing w:val="0"/>
          <w:sz w:val="32"/>
          <w:szCs w:val="32"/>
          <w:shd w:val="clear" w:fill="FFFFFF"/>
          <w:lang w:val="en-US" w:eastAsia="zh-CN"/>
        </w:rPr>
        <w:t>淄博高新区</w:t>
      </w:r>
      <w:r>
        <w:rPr>
          <w:rFonts w:hint="eastAsia" w:ascii="仿宋_GB2312" w:hAnsi="仿宋_GB2312" w:eastAsia="仿宋_GB2312" w:cs="仿宋_GB2312"/>
          <w:i w:val="0"/>
          <w:iCs w:val="0"/>
          <w:caps w:val="0"/>
          <w:color w:val="000000"/>
          <w:spacing w:val="0"/>
          <w:sz w:val="32"/>
          <w:szCs w:val="32"/>
          <w:shd w:val="clear" w:fill="FFFFFF"/>
        </w:rPr>
        <w:t>管委会要求，对</w:t>
      </w:r>
      <w:r>
        <w:rPr>
          <w:rFonts w:hint="eastAsia" w:ascii="仿宋_GB2312" w:hAnsi="仿宋_GB2312" w:eastAsia="仿宋_GB2312" w:cs="仿宋_GB2312"/>
          <w:i w:val="0"/>
          <w:iCs w:val="0"/>
          <w:caps w:val="0"/>
          <w:color w:val="000000"/>
          <w:spacing w:val="0"/>
          <w:sz w:val="32"/>
          <w:szCs w:val="32"/>
          <w:shd w:val="clear" w:fill="FFFFFF"/>
          <w:lang w:val="en-US" w:eastAsia="zh-CN"/>
        </w:rPr>
        <w:t>门户</w:t>
      </w:r>
      <w:r>
        <w:rPr>
          <w:rFonts w:hint="eastAsia" w:ascii="仿宋_GB2312" w:hAnsi="仿宋_GB2312" w:eastAsia="仿宋_GB2312" w:cs="仿宋_GB2312"/>
          <w:i w:val="0"/>
          <w:iCs w:val="0"/>
          <w:caps w:val="0"/>
          <w:color w:val="000000"/>
          <w:spacing w:val="0"/>
          <w:sz w:val="32"/>
          <w:szCs w:val="32"/>
          <w:shd w:val="clear" w:fill="FFFFFF"/>
        </w:rPr>
        <w:t>网站部门政府信息公开板块栏目及时进行调整，完善更新内容，方便群众获取。</w:t>
      </w:r>
      <w:r>
        <w:rPr>
          <w:rFonts w:hint="eastAsia" w:ascii="仿宋_GB2312" w:hAnsi="仿宋_GB2312" w:eastAsia="仿宋_GB2312" w:cs="仿宋_GB2312"/>
          <w:i w:val="0"/>
          <w:iCs w:val="0"/>
          <w:caps w:val="0"/>
          <w:color w:val="000000"/>
          <w:spacing w:val="0"/>
          <w:sz w:val="32"/>
          <w:szCs w:val="32"/>
          <w:shd w:val="clear" w:fill="FFFFFF"/>
          <w:lang w:val="en-US" w:eastAsia="zh-CN"/>
        </w:rPr>
        <w:t>除此之外，我部门暂未开设政务新媒体等其他政府信息公开平台。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rPr>
        <w:t>（五）监督保障。</w:t>
      </w:r>
      <w:r>
        <w:rPr>
          <w:rFonts w:hint="eastAsia" w:ascii="仿宋_GB2312" w:hAnsi="仿宋_GB2312" w:eastAsia="仿宋_GB2312" w:cs="仿宋_GB2312"/>
          <w:b/>
          <w:bCs/>
          <w:i w:val="0"/>
          <w:iCs w:val="0"/>
          <w:caps w:val="0"/>
          <w:color w:val="000000"/>
          <w:spacing w:val="0"/>
          <w:sz w:val="32"/>
          <w:szCs w:val="32"/>
          <w:shd w:val="clear" w:fill="FFFFFF"/>
          <w:lang w:val="en-US" w:eastAsia="zh-CN"/>
        </w:rPr>
        <w:t>一是</w:t>
      </w:r>
      <w:r>
        <w:rPr>
          <w:rFonts w:hint="eastAsia" w:ascii="仿宋_GB2312" w:hAnsi="仿宋_GB2312" w:eastAsia="仿宋_GB2312" w:cs="仿宋_GB2312"/>
          <w:i w:val="0"/>
          <w:iCs w:val="0"/>
          <w:caps w:val="0"/>
          <w:color w:val="000000"/>
          <w:spacing w:val="0"/>
          <w:sz w:val="32"/>
          <w:szCs w:val="32"/>
          <w:shd w:val="clear" w:fill="FFFFFF"/>
        </w:rPr>
        <w:t>对公开信息依法依规进行审查，由各分管领导按业务线对内容进行审核，确保公开信息准确规范。同时，对工作职责、办公地址、联系方式等内容进行公开，及时更新相关工作事项进展，确保监督保障渠道畅通。</w:t>
      </w:r>
      <w:r>
        <w:rPr>
          <w:rFonts w:hint="eastAsia" w:ascii="仿宋_GB2312" w:hAnsi="仿宋_GB2312" w:eastAsia="仿宋_GB2312" w:cs="仿宋_GB2312"/>
          <w:b/>
          <w:bCs/>
          <w:i w:val="0"/>
          <w:iCs w:val="0"/>
          <w:caps w:val="0"/>
          <w:color w:val="000000"/>
          <w:spacing w:val="0"/>
          <w:sz w:val="32"/>
          <w:szCs w:val="32"/>
          <w:shd w:val="clear" w:fill="FFFFFF"/>
          <w:lang w:val="en-US" w:eastAsia="zh-CN"/>
        </w:rPr>
        <w:t>二是</w:t>
      </w:r>
      <w:r>
        <w:rPr>
          <w:rFonts w:hint="eastAsia" w:ascii="仿宋_GB2312" w:hAnsi="仿宋_GB2312" w:eastAsia="仿宋_GB2312" w:cs="仿宋_GB2312"/>
          <w:i w:val="0"/>
          <w:iCs w:val="0"/>
          <w:caps w:val="0"/>
          <w:color w:val="000000"/>
          <w:spacing w:val="0"/>
          <w:sz w:val="32"/>
          <w:szCs w:val="32"/>
          <w:shd w:val="clear" w:fill="FFFFFF"/>
        </w:rPr>
        <w:t>举行了一次针对政府信息公开</w:t>
      </w:r>
      <w:r>
        <w:rPr>
          <w:rFonts w:hint="eastAsia" w:ascii="仿宋_GB2312" w:hAnsi="仿宋_GB2312" w:eastAsia="仿宋_GB2312" w:cs="仿宋_GB2312"/>
          <w:i w:val="0"/>
          <w:iCs w:val="0"/>
          <w:caps w:val="0"/>
          <w:color w:val="000000"/>
          <w:spacing w:val="0"/>
          <w:sz w:val="32"/>
          <w:szCs w:val="32"/>
          <w:shd w:val="clear" w:fill="FFFFFF"/>
          <w:lang w:val="en-US" w:eastAsia="zh-CN"/>
        </w:rPr>
        <w:t>工作</w:t>
      </w:r>
      <w:r>
        <w:rPr>
          <w:rFonts w:hint="eastAsia" w:ascii="仿宋_GB2312" w:hAnsi="仿宋_GB2312" w:eastAsia="仿宋_GB2312" w:cs="仿宋_GB2312"/>
          <w:i w:val="0"/>
          <w:iCs w:val="0"/>
          <w:caps w:val="0"/>
          <w:color w:val="000000"/>
          <w:spacing w:val="0"/>
          <w:sz w:val="32"/>
          <w:szCs w:val="32"/>
          <w:shd w:val="clear" w:fill="FFFFFF"/>
        </w:rPr>
        <w:t>的培训会，传达了信息公开工作的最新相关要求，并对系统操作规范、网站公开内容、制度相关要求进行了培训。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b/>
          <w:sz w:val="24"/>
          <w:szCs w:val="24"/>
        </w:rPr>
      </w:pPr>
      <w:r>
        <w:rPr>
          <w:rFonts w:hint="eastAsia" w:ascii="黑体" w:hAnsi="黑体" w:eastAsia="黑体"/>
          <w:b w:val="0"/>
          <w:bCs/>
          <w:sz w:val="32"/>
          <w:szCs w:val="32"/>
        </w:rPr>
        <w:t>二、</w:t>
      </w:r>
      <w:r>
        <w:rPr>
          <w:rFonts w:hint="eastAsia" w:ascii="黑体" w:hAnsi="黑体" w:eastAsia="黑体"/>
          <w:b w:val="0"/>
          <w:bCs/>
          <w:sz w:val="32"/>
          <w:szCs w:val="32"/>
          <w:lang w:val="en-US" w:eastAsia="zh-CN"/>
        </w:rPr>
        <w:t>行政机关</w:t>
      </w:r>
      <w:r>
        <w:rPr>
          <w:rFonts w:hint="eastAsia" w:ascii="黑体" w:hAnsi="黑体" w:eastAsia="黑体"/>
          <w:b w:val="0"/>
          <w:bCs/>
          <w:sz w:val="32"/>
          <w:szCs w:val="32"/>
        </w:rPr>
        <w:t>主动公开政府信息情况</w:t>
      </w: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65"/>
        <w:gridCol w:w="1897"/>
        <w:gridCol w:w="1940"/>
        <w:gridCol w:w="21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3" w:hRule="atLeast"/>
          <w:jc w:val="center"/>
        </w:trPr>
        <w:tc>
          <w:tcPr>
            <w:tcW w:w="8522"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highlight w:val="cyan"/>
              </w:rPr>
            </w:pPr>
            <w:r>
              <w:rPr>
                <w:rFonts w:hint="eastAsia" w:ascii="黑体" w:hAnsi="黑体" w:eastAsia="黑体" w:cs="黑体"/>
                <w:sz w:val="28"/>
                <w:szCs w:val="28"/>
                <w:highlight w:val="none"/>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信息内容</w:t>
            </w:r>
          </w:p>
        </w:tc>
        <w:tc>
          <w:tcPr>
            <w:tcW w:w="189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本年制发件数</w:t>
            </w:r>
          </w:p>
        </w:tc>
        <w:tc>
          <w:tcPr>
            <w:tcW w:w="19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本年废止件数</w:t>
            </w:r>
          </w:p>
        </w:tc>
        <w:tc>
          <w:tcPr>
            <w:tcW w:w="21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规章</w:t>
            </w:r>
          </w:p>
        </w:tc>
        <w:tc>
          <w:tcPr>
            <w:tcW w:w="189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c>
          <w:tcPr>
            <w:tcW w:w="1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0</w:t>
            </w:r>
          </w:p>
        </w:tc>
        <w:tc>
          <w:tcPr>
            <w:tcW w:w="2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3"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行政规范性文件</w:t>
            </w:r>
          </w:p>
        </w:tc>
        <w:tc>
          <w:tcPr>
            <w:tcW w:w="189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0</w:t>
            </w:r>
          </w:p>
        </w:tc>
        <w:tc>
          <w:tcPr>
            <w:tcW w:w="194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0</w:t>
            </w:r>
          </w:p>
        </w:tc>
        <w:tc>
          <w:tcPr>
            <w:tcW w:w="21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信息内容</w:t>
            </w:r>
          </w:p>
        </w:tc>
        <w:tc>
          <w:tcPr>
            <w:tcW w:w="5957"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595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信息内容</w:t>
            </w:r>
          </w:p>
        </w:tc>
        <w:tc>
          <w:tcPr>
            <w:tcW w:w="5957"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w:t>
            </w:r>
          </w:p>
        </w:tc>
        <w:tc>
          <w:tcPr>
            <w:tcW w:w="595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行政强制</w:t>
            </w:r>
          </w:p>
        </w:tc>
        <w:tc>
          <w:tcPr>
            <w:tcW w:w="595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信息内容</w:t>
            </w:r>
          </w:p>
        </w:tc>
        <w:tc>
          <w:tcPr>
            <w:tcW w:w="5957"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5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行政事业性收费</w:t>
            </w:r>
          </w:p>
        </w:tc>
        <w:tc>
          <w:tcPr>
            <w:tcW w:w="595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900</w:t>
            </w:r>
            <w:r>
              <w:rPr>
                <w:rFonts w:hint="eastAsia" w:ascii="仿宋_GB2312" w:hAnsi="仿宋_GB2312" w:eastAsia="仿宋_GB2312" w:cs="仿宋_GB2312"/>
                <w:sz w:val="28"/>
                <w:szCs w:val="28"/>
                <w:lang w:val="en-US" w:eastAsia="zh-CN"/>
              </w:rPr>
              <w:t>.</w:t>
            </w:r>
            <w:r>
              <w:rPr>
                <w:rFonts w:hint="default" w:ascii="Times New Roman" w:hAnsi="Times New Roman" w:eastAsia="仿宋_GB2312" w:cs="Times New Roman"/>
                <w:sz w:val="28"/>
                <w:szCs w:val="28"/>
                <w:lang w:val="en-US" w:eastAsia="zh-CN"/>
              </w:rPr>
              <w:t>18</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微软雅黑" w:hAnsi="微软雅黑" w:eastAsia="微软雅黑" w:cs="微软雅黑"/>
          <w:i w:val="0"/>
          <w:iCs w:val="0"/>
          <w:caps w:val="0"/>
          <w:color w:val="000000"/>
          <w:spacing w:val="0"/>
          <w:sz w:val="19"/>
          <w:szCs w:val="19"/>
        </w:rPr>
      </w:pPr>
      <w:r>
        <w:rPr>
          <w:rFonts w:ascii="黑体" w:hAnsi="宋体" w:eastAsia="黑体" w:cs="黑体"/>
          <w:i w:val="0"/>
          <w:iCs w:val="0"/>
          <w:caps w:val="0"/>
          <w:color w:val="000000"/>
          <w:spacing w:val="0"/>
          <w:sz w:val="32"/>
          <w:szCs w:val="32"/>
        </w:rPr>
        <w:t>三、收到和处理政府信息公开申请情况</w:t>
      </w:r>
    </w:p>
    <w:tbl>
      <w:tblPr>
        <w:tblStyle w:val="6"/>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1342"/>
        <w:gridCol w:w="2119"/>
        <w:gridCol w:w="529"/>
        <w:gridCol w:w="632"/>
        <w:gridCol w:w="632"/>
        <w:gridCol w:w="632"/>
        <w:gridCol w:w="632"/>
        <w:gridCol w:w="632"/>
        <w:gridCol w:w="7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8" w:hRule="atLeast"/>
        </w:trPr>
        <w:tc>
          <w:tcPr>
            <w:tcW w:w="409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9"/>
                <w:szCs w:val="19"/>
              </w:rPr>
            </w:pPr>
            <w:r>
              <w:rPr>
                <w:rFonts w:hint="eastAsia" w:ascii="楷体_GB2312" w:hAnsi="楷体_GB2312" w:eastAsia="楷体_GB2312" w:cs="楷体_GB2312"/>
                <w:i w:val="0"/>
                <w:iCs w:val="0"/>
                <w:caps w:val="0"/>
                <w:color w:val="000000"/>
                <w:spacing w:val="0"/>
                <w:sz w:val="21"/>
                <w:szCs w:val="21"/>
              </w:rPr>
              <w:t>（本列数据的勾稽关系为：第一项加第二项之和，等于第三项加第四项之和）</w:t>
            </w:r>
          </w:p>
        </w:tc>
        <w:tc>
          <w:tcPr>
            <w:tcW w:w="4425" w:type="dxa"/>
            <w:gridSpan w:val="7"/>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trPr>
        <w:tc>
          <w:tcPr>
            <w:tcW w:w="40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52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自然人</w:t>
            </w:r>
          </w:p>
        </w:tc>
        <w:tc>
          <w:tcPr>
            <w:tcW w:w="316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法人或其他组织</w:t>
            </w:r>
          </w:p>
        </w:tc>
        <w:tc>
          <w:tcPr>
            <w:tcW w:w="73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trPr>
        <w:tc>
          <w:tcPr>
            <w:tcW w:w="40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5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商业企业</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科研机构</w:t>
            </w:r>
          </w:p>
        </w:tc>
        <w:tc>
          <w:tcPr>
            <w:tcW w:w="63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社会公益组织</w:t>
            </w:r>
          </w:p>
        </w:tc>
        <w:tc>
          <w:tcPr>
            <w:tcW w:w="63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法律服务机构</w:t>
            </w:r>
          </w:p>
        </w:tc>
        <w:tc>
          <w:tcPr>
            <w:tcW w:w="63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其他</w:t>
            </w:r>
          </w:p>
        </w:tc>
        <w:tc>
          <w:tcPr>
            <w:tcW w:w="73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9" w:hRule="atLeast"/>
        </w:trPr>
        <w:tc>
          <w:tcPr>
            <w:tcW w:w="409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一、本年新收政府信息公开申请数量</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9" w:hRule="atLeast"/>
        </w:trPr>
        <w:tc>
          <w:tcPr>
            <w:tcW w:w="409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二、上年结转政府信息公开申请数量</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8" w:hRule="atLeast"/>
        </w:trPr>
        <w:tc>
          <w:tcPr>
            <w:tcW w:w="636" w:type="dxa"/>
            <w:vMerge w:val="restart"/>
            <w:tcBorders>
              <w:top w:val="nil"/>
              <w:left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i w:val="0"/>
                <w:iCs w:val="0"/>
                <w:caps w:val="0"/>
                <w:color w:val="000000"/>
                <w:spacing w:val="0"/>
                <w:sz w:val="21"/>
                <w:szCs w:val="21"/>
              </w:rPr>
            </w:pPr>
            <w:r>
              <w:rPr>
                <w:rFonts w:hint="eastAsia" w:ascii="黑体" w:hAnsi="黑体" w:eastAsia="黑体" w:cs="黑体"/>
                <w:i w:val="0"/>
                <w:iCs w:val="0"/>
                <w:caps w:val="0"/>
                <w:color w:val="000000"/>
                <w:spacing w:val="0"/>
                <w:sz w:val="21"/>
                <w:szCs w:val="21"/>
              </w:rPr>
              <w:t>三、本年度办理结果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 </w:t>
            </w:r>
          </w:p>
        </w:tc>
        <w:tc>
          <w:tcPr>
            <w:tcW w:w="346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（一）予以公开</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346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（二）部分公开（区分处理的，只计这一情形，不计其他情形）</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（三）不予公开</w:t>
            </w: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1</w:t>
            </w:r>
            <w:r>
              <w:rPr>
                <w:rFonts w:hint="eastAsia" w:ascii="仿宋_GB2312" w:hAnsi="仿宋_GB2312" w:eastAsia="仿宋_GB2312" w:cs="仿宋_GB2312"/>
                <w:i w:val="0"/>
                <w:iCs w:val="0"/>
                <w:caps w:val="0"/>
                <w:color w:val="000000"/>
                <w:spacing w:val="0"/>
                <w:sz w:val="18"/>
                <w:szCs w:val="18"/>
              </w:rPr>
              <w:t>．属于国家秘密</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6"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2</w:t>
            </w:r>
            <w:r>
              <w:rPr>
                <w:rFonts w:hint="eastAsia" w:ascii="仿宋_GB2312" w:hAnsi="仿宋_GB2312" w:eastAsia="仿宋_GB2312" w:cs="仿宋_GB2312"/>
                <w:i w:val="0"/>
                <w:iCs w:val="0"/>
                <w:caps w:val="0"/>
                <w:color w:val="000000"/>
                <w:spacing w:val="0"/>
                <w:sz w:val="18"/>
                <w:szCs w:val="18"/>
              </w:rPr>
              <w:t>．其他法律行政法规禁止公开</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9"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3</w:t>
            </w:r>
            <w:r>
              <w:rPr>
                <w:rFonts w:hint="eastAsia" w:ascii="仿宋_GB2312" w:hAnsi="仿宋_GB2312" w:eastAsia="仿宋_GB2312" w:cs="仿宋_GB2312"/>
                <w:i w:val="0"/>
                <w:iCs w:val="0"/>
                <w:caps w:val="0"/>
                <w:color w:val="000000"/>
                <w:spacing w:val="0"/>
                <w:sz w:val="18"/>
                <w:szCs w:val="18"/>
              </w:rPr>
              <w:t>．危及“三安全一稳定”</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4</w:t>
            </w:r>
            <w:r>
              <w:rPr>
                <w:rFonts w:hint="eastAsia" w:ascii="仿宋_GB2312" w:hAnsi="仿宋_GB2312" w:eastAsia="仿宋_GB2312" w:cs="仿宋_GB2312"/>
                <w:i w:val="0"/>
                <w:iCs w:val="0"/>
                <w:caps w:val="0"/>
                <w:color w:val="000000"/>
                <w:spacing w:val="0"/>
                <w:sz w:val="18"/>
                <w:szCs w:val="18"/>
              </w:rPr>
              <w:t>．保护第三方合法权益</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5</w:t>
            </w:r>
            <w:r>
              <w:rPr>
                <w:rFonts w:hint="eastAsia" w:ascii="仿宋_GB2312" w:hAnsi="仿宋_GB2312" w:eastAsia="仿宋_GB2312" w:cs="仿宋_GB2312"/>
                <w:i w:val="0"/>
                <w:iCs w:val="0"/>
                <w:caps w:val="0"/>
                <w:color w:val="000000"/>
                <w:spacing w:val="0"/>
                <w:sz w:val="18"/>
                <w:szCs w:val="18"/>
              </w:rPr>
              <w:t>．属于三类内部事务信息</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6</w:t>
            </w:r>
            <w:r>
              <w:rPr>
                <w:rFonts w:hint="eastAsia" w:ascii="仿宋_GB2312" w:hAnsi="仿宋_GB2312" w:eastAsia="仿宋_GB2312" w:cs="仿宋_GB2312"/>
                <w:i w:val="0"/>
                <w:iCs w:val="0"/>
                <w:caps w:val="0"/>
                <w:color w:val="000000"/>
                <w:spacing w:val="0"/>
                <w:sz w:val="18"/>
                <w:szCs w:val="18"/>
              </w:rPr>
              <w:t>．属于四类过程性信息</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5"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7</w:t>
            </w:r>
            <w:r>
              <w:rPr>
                <w:rFonts w:hint="eastAsia" w:ascii="仿宋_GB2312" w:hAnsi="仿宋_GB2312" w:eastAsia="仿宋_GB2312" w:cs="仿宋_GB2312"/>
                <w:i w:val="0"/>
                <w:iCs w:val="0"/>
                <w:caps w:val="0"/>
                <w:color w:val="000000"/>
                <w:spacing w:val="0"/>
                <w:sz w:val="18"/>
                <w:szCs w:val="18"/>
              </w:rPr>
              <w:t>．属于行政执法案卷</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8</w:t>
            </w:r>
            <w:r>
              <w:rPr>
                <w:rFonts w:hint="eastAsia" w:ascii="仿宋_GB2312" w:hAnsi="仿宋_GB2312" w:eastAsia="仿宋_GB2312" w:cs="仿宋_GB2312"/>
                <w:i w:val="0"/>
                <w:iCs w:val="0"/>
                <w:caps w:val="0"/>
                <w:color w:val="000000"/>
                <w:spacing w:val="0"/>
                <w:sz w:val="18"/>
                <w:szCs w:val="18"/>
              </w:rPr>
              <w:t>．属于行政查询事项</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2"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（四）无法提供</w:t>
            </w: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1</w:t>
            </w:r>
            <w:r>
              <w:rPr>
                <w:rFonts w:hint="eastAsia" w:ascii="仿宋_GB2312" w:hAnsi="仿宋_GB2312" w:eastAsia="仿宋_GB2312" w:cs="仿宋_GB2312"/>
                <w:i w:val="0"/>
                <w:iCs w:val="0"/>
                <w:caps w:val="0"/>
                <w:color w:val="000000"/>
                <w:spacing w:val="0"/>
                <w:sz w:val="18"/>
                <w:szCs w:val="18"/>
              </w:rPr>
              <w:t>．本机关不掌握相关政府信息</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8"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2</w:t>
            </w:r>
            <w:r>
              <w:rPr>
                <w:rFonts w:hint="eastAsia" w:ascii="仿宋_GB2312" w:hAnsi="仿宋_GB2312" w:eastAsia="仿宋_GB2312" w:cs="仿宋_GB2312"/>
                <w:i w:val="0"/>
                <w:iCs w:val="0"/>
                <w:caps w:val="0"/>
                <w:color w:val="000000"/>
                <w:spacing w:val="0"/>
                <w:sz w:val="18"/>
                <w:szCs w:val="18"/>
              </w:rPr>
              <w:t>．没有现成信息需要另行制作</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3</w:t>
            </w:r>
            <w:r>
              <w:rPr>
                <w:rFonts w:hint="eastAsia" w:ascii="仿宋_GB2312" w:hAnsi="仿宋_GB2312" w:eastAsia="仿宋_GB2312" w:cs="仿宋_GB2312"/>
                <w:i w:val="0"/>
                <w:iCs w:val="0"/>
                <w:caps w:val="0"/>
                <w:color w:val="000000"/>
                <w:spacing w:val="0"/>
                <w:sz w:val="18"/>
                <w:szCs w:val="18"/>
              </w:rPr>
              <w:t>．补正后申请内容仍不明确</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3"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（五）不予处理</w:t>
            </w: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1</w:t>
            </w:r>
            <w:r>
              <w:rPr>
                <w:rFonts w:hint="eastAsia" w:ascii="仿宋_GB2312" w:hAnsi="仿宋_GB2312" w:eastAsia="仿宋_GB2312" w:cs="仿宋_GB2312"/>
                <w:i w:val="0"/>
                <w:iCs w:val="0"/>
                <w:caps w:val="0"/>
                <w:color w:val="000000"/>
                <w:spacing w:val="0"/>
                <w:sz w:val="18"/>
                <w:szCs w:val="18"/>
              </w:rPr>
              <w:t>．信访举报投诉类申请</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2</w:t>
            </w:r>
            <w:r>
              <w:rPr>
                <w:rFonts w:hint="eastAsia" w:ascii="仿宋_GB2312" w:hAnsi="仿宋_GB2312" w:eastAsia="仿宋_GB2312" w:cs="仿宋_GB2312"/>
                <w:i w:val="0"/>
                <w:iCs w:val="0"/>
                <w:caps w:val="0"/>
                <w:color w:val="000000"/>
                <w:spacing w:val="0"/>
                <w:sz w:val="18"/>
                <w:szCs w:val="18"/>
              </w:rPr>
              <w:t>．重复申请</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3"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3</w:t>
            </w:r>
            <w:r>
              <w:rPr>
                <w:rFonts w:hint="eastAsia" w:ascii="仿宋_GB2312" w:hAnsi="仿宋_GB2312" w:eastAsia="仿宋_GB2312" w:cs="仿宋_GB2312"/>
                <w:i w:val="0"/>
                <w:iCs w:val="0"/>
                <w:caps w:val="0"/>
                <w:color w:val="000000"/>
                <w:spacing w:val="0"/>
                <w:sz w:val="18"/>
                <w:szCs w:val="18"/>
              </w:rPr>
              <w:t>．要求提供公开出版物</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4</w:t>
            </w:r>
            <w:r>
              <w:rPr>
                <w:rFonts w:hint="eastAsia" w:ascii="仿宋_GB2312" w:hAnsi="仿宋_GB2312" w:eastAsia="仿宋_GB2312" w:cs="仿宋_GB2312"/>
                <w:i w:val="0"/>
                <w:iCs w:val="0"/>
                <w:caps w:val="0"/>
                <w:color w:val="000000"/>
                <w:spacing w:val="0"/>
                <w:sz w:val="18"/>
                <w:szCs w:val="18"/>
              </w:rPr>
              <w:t>．无正当理由大量反复申请</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36" w:type="dxa"/>
            <w:vMerge w:val="continue"/>
            <w:tcBorders>
              <w:left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2119"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hanging="180"/>
              <w:rPr>
                <w:rFonts w:hint="eastAsia" w:ascii="仿宋_GB2312" w:hAnsi="仿宋_GB2312" w:eastAsia="仿宋_GB2312" w:cs="仿宋_GB2312"/>
                <w:sz w:val="19"/>
                <w:szCs w:val="19"/>
              </w:rPr>
            </w:pPr>
            <w:r>
              <w:rPr>
                <w:rFonts w:hint="default" w:ascii="Times New Roman" w:hAnsi="Times New Roman" w:eastAsia="仿宋_GB2312" w:cs="Times New Roman"/>
                <w:i w:val="0"/>
                <w:iCs w:val="0"/>
                <w:caps w:val="0"/>
                <w:color w:val="000000"/>
                <w:spacing w:val="0"/>
                <w:sz w:val="18"/>
                <w:szCs w:val="18"/>
              </w:rPr>
              <w:t>5</w:t>
            </w:r>
            <w:r>
              <w:rPr>
                <w:rFonts w:hint="eastAsia" w:ascii="仿宋_GB2312" w:hAnsi="仿宋_GB2312" w:eastAsia="仿宋_GB2312" w:cs="仿宋_GB2312"/>
                <w:i w:val="0"/>
                <w:iCs w:val="0"/>
                <w:caps w:val="0"/>
                <w:color w:val="000000"/>
                <w:spacing w:val="0"/>
                <w:sz w:val="18"/>
                <w:szCs w:val="18"/>
              </w:rPr>
              <w:t>．要求行政机关确认或重新出具已获取信息</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4" w:hRule="atLeast"/>
        </w:trPr>
        <w:tc>
          <w:tcPr>
            <w:tcW w:w="636" w:type="dxa"/>
            <w:vMerge w:val="continue"/>
            <w:tcBorders>
              <w:left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p>
        </w:tc>
        <w:tc>
          <w:tcPr>
            <w:tcW w:w="346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（六）其他处理</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5" w:hRule="atLeast"/>
        </w:trPr>
        <w:tc>
          <w:tcPr>
            <w:tcW w:w="63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p>
        </w:tc>
        <w:tc>
          <w:tcPr>
            <w:tcW w:w="346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18"/>
                <w:szCs w:val="18"/>
              </w:rPr>
              <w:t>（七）总计</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09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四、结转下年度继续办理</w:t>
            </w:r>
          </w:p>
        </w:tc>
        <w:tc>
          <w:tcPr>
            <w:tcW w:w="5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3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3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四</w:t>
      </w:r>
      <w:r>
        <w:rPr>
          <w:rFonts w:hint="eastAsia" w:ascii="黑体" w:hAnsi="宋体" w:eastAsia="黑体" w:cs="黑体"/>
          <w:i w:val="0"/>
          <w:iCs w:val="0"/>
          <w:caps w:val="0"/>
          <w:color w:val="000000"/>
          <w:spacing w:val="0"/>
          <w:sz w:val="32"/>
          <w:szCs w:val="32"/>
          <w:lang w:eastAsia="zh-CN"/>
        </w:rPr>
        <w:t>、</w:t>
      </w:r>
      <w:r>
        <w:rPr>
          <w:rFonts w:hint="eastAsia" w:ascii="黑体" w:hAnsi="宋体" w:eastAsia="黑体" w:cs="黑体"/>
          <w:i w:val="0"/>
          <w:iCs w:val="0"/>
          <w:caps w:val="0"/>
          <w:color w:val="000000"/>
          <w:spacing w:val="0"/>
          <w:sz w:val="32"/>
          <w:szCs w:val="32"/>
        </w:rPr>
        <w:t>政府信息公开行政复议、行政诉讼情况</w:t>
      </w:r>
    </w:p>
    <w:tbl>
      <w:tblPr>
        <w:tblStyle w:val="6"/>
        <w:tblW w:w="1020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8"/>
        <w:gridCol w:w="708"/>
        <w:gridCol w:w="709"/>
        <w:gridCol w:w="682"/>
        <w:gridCol w:w="594"/>
        <w:gridCol w:w="709"/>
        <w:gridCol w:w="709"/>
        <w:gridCol w:w="709"/>
        <w:gridCol w:w="708"/>
        <w:gridCol w:w="567"/>
        <w:gridCol w:w="851"/>
        <w:gridCol w:w="650"/>
        <w:gridCol w:w="767"/>
        <w:gridCol w:w="709"/>
        <w:gridCol w:w="4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 w:hRule="atLeast"/>
        </w:trPr>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行政复议</w:t>
            </w:r>
          </w:p>
        </w:tc>
        <w:tc>
          <w:tcPr>
            <w:tcW w:w="6804"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70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结果维持</w:t>
            </w:r>
          </w:p>
        </w:tc>
        <w:tc>
          <w:tcPr>
            <w:tcW w:w="70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结果纠正</w:t>
            </w:r>
          </w:p>
        </w:tc>
        <w:tc>
          <w:tcPr>
            <w:tcW w:w="70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其他结果</w:t>
            </w:r>
          </w:p>
        </w:tc>
        <w:tc>
          <w:tcPr>
            <w:tcW w:w="68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尚未审结</w:t>
            </w:r>
          </w:p>
        </w:tc>
        <w:tc>
          <w:tcPr>
            <w:tcW w:w="59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总计</w:t>
            </w:r>
          </w:p>
        </w:tc>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未经复议直接起诉</w:t>
            </w:r>
          </w:p>
        </w:tc>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7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70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68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59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黑体" w:hAnsi="黑体" w:eastAsia="黑体" w:cs="黑体"/>
                <w:i w:val="0"/>
                <w:iCs w:val="0"/>
                <w:caps w:val="0"/>
                <w:color w:val="000000"/>
                <w:spacing w:val="0"/>
                <w:sz w:val="27"/>
                <w:szCs w:val="27"/>
              </w:rPr>
            </w:pP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结果维持</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结果纠正</w:t>
            </w:r>
          </w:p>
        </w:tc>
        <w:tc>
          <w:tcPr>
            <w:tcW w:w="70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其他结果</w:t>
            </w:r>
          </w:p>
        </w:tc>
        <w:tc>
          <w:tcPr>
            <w:tcW w:w="7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尚未审结</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总计</w:t>
            </w:r>
          </w:p>
        </w:tc>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结果纠正</w:t>
            </w:r>
          </w:p>
        </w:tc>
        <w:tc>
          <w:tcPr>
            <w:tcW w:w="76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其他结果</w:t>
            </w:r>
          </w:p>
        </w:tc>
        <w:tc>
          <w:tcPr>
            <w:tcW w:w="70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尚未审结</w:t>
            </w:r>
          </w:p>
        </w:tc>
        <w:tc>
          <w:tcPr>
            <w:tcW w:w="4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9"/>
                <w:szCs w:val="19"/>
              </w:rPr>
            </w:pPr>
            <w:r>
              <w:rPr>
                <w:rFonts w:hint="eastAsia" w:ascii="黑体" w:hAnsi="黑体" w:eastAsia="黑体" w:cs="黑体"/>
                <w:i w:val="0"/>
                <w:iCs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5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56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8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6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70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4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主要问题：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业务科室工作人员</w:t>
      </w:r>
      <w:r>
        <w:rPr>
          <w:rFonts w:hint="eastAsia" w:ascii="仿宋_GB2312" w:hAnsi="仿宋_GB2312" w:eastAsia="仿宋_GB2312" w:cs="仿宋_GB2312"/>
          <w:sz w:val="32"/>
          <w:szCs w:val="32"/>
        </w:rPr>
        <w:t>政务公开工作的监督指导培训还有待加强。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政策性文件的解读质量还需提高，有些政策解读材料不符合群众语言习惯，针对性、有效性还不够。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针对以上问题，我们采取了以下措施</w:t>
      </w:r>
      <w:r>
        <w:rPr>
          <w:rFonts w:hint="eastAsia"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坚持问题导向，加强对</w:t>
      </w:r>
      <w:r>
        <w:rPr>
          <w:rFonts w:hint="eastAsia" w:ascii="仿宋_GB2312" w:hAnsi="仿宋_GB2312" w:eastAsia="仿宋_GB2312" w:cs="仿宋_GB2312"/>
          <w:sz w:val="32"/>
          <w:szCs w:val="32"/>
          <w:lang w:val="en-US" w:eastAsia="zh-CN"/>
        </w:rPr>
        <w:t>业务科室工作人员</w:t>
      </w:r>
      <w:r>
        <w:rPr>
          <w:rFonts w:hint="eastAsia" w:ascii="仿宋_GB2312" w:hAnsi="仿宋_GB2312" w:eastAsia="仿宋_GB2312" w:cs="仿宋_GB2312"/>
          <w:sz w:val="32"/>
          <w:szCs w:val="32"/>
        </w:rPr>
        <w:t>政务公开工作常态化监督检查；每年开展政务公开工作培训，不断提升</w:t>
      </w:r>
      <w:r>
        <w:rPr>
          <w:rFonts w:hint="eastAsia" w:ascii="仿宋_GB2312" w:hAnsi="仿宋_GB2312" w:eastAsia="仿宋_GB2312" w:cs="仿宋_GB2312"/>
          <w:sz w:val="32"/>
          <w:szCs w:val="32"/>
          <w:lang w:val="en-US" w:eastAsia="zh-CN"/>
        </w:rPr>
        <w:t>机关干部</w:t>
      </w:r>
      <w:r>
        <w:rPr>
          <w:rFonts w:hint="eastAsia" w:ascii="仿宋_GB2312" w:hAnsi="仿宋_GB2312" w:eastAsia="仿宋_GB2312" w:cs="仿宋_GB2312"/>
          <w:sz w:val="32"/>
          <w:szCs w:val="32"/>
        </w:rPr>
        <w:t>政务公开工作标准化、规范化水平。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加强政策解读，</w:t>
      </w:r>
      <w:r>
        <w:rPr>
          <w:rFonts w:hint="eastAsia" w:ascii="仿宋_GB2312" w:hAnsi="仿宋_GB2312" w:eastAsia="仿宋_GB2312" w:cs="仿宋_GB2312"/>
          <w:sz w:val="32"/>
          <w:szCs w:val="32"/>
          <w:lang w:val="en-US" w:eastAsia="zh-CN"/>
        </w:rPr>
        <w:t>鼓励业务科室</w:t>
      </w:r>
      <w:r>
        <w:rPr>
          <w:rFonts w:hint="eastAsia" w:ascii="仿宋_GB2312" w:hAnsi="仿宋_GB2312" w:eastAsia="仿宋_GB2312" w:cs="仿宋_GB2312"/>
          <w:sz w:val="32"/>
          <w:szCs w:val="32"/>
        </w:rPr>
        <w:t>从群众视角多形式开展实质性解读，重点解读与群众生产生活密切相关的具体条款，增强可读性，不断丰富和完善</w:t>
      </w:r>
      <w:r>
        <w:rPr>
          <w:rFonts w:hint="eastAsia" w:ascii="仿宋_GB2312" w:hAnsi="仿宋_GB2312" w:eastAsia="仿宋_GB2312" w:cs="仿宋_GB2312"/>
          <w:sz w:val="32"/>
          <w:szCs w:val="32"/>
          <w:lang w:val="en-US" w:eastAsia="zh-CN"/>
        </w:rPr>
        <w:t>政策解读</w:t>
      </w:r>
      <w:r>
        <w:rPr>
          <w:rFonts w:hint="eastAsia" w:ascii="仿宋_GB2312" w:hAnsi="仿宋_GB2312" w:eastAsia="仿宋_GB2312" w:cs="仿宋_GB2312"/>
          <w:sz w:val="32"/>
          <w:szCs w:val="32"/>
        </w:rPr>
        <w:t>信息内容，提高政策解读质量。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000000"/>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（一）依申请公开收费情况：</w:t>
      </w:r>
      <w:r>
        <w:rPr>
          <w:rFonts w:hint="eastAsia" w:ascii="仿宋_GB2312" w:hAnsi="仿宋_GB2312" w:eastAsia="仿宋_GB2312" w:cs="仿宋_GB2312"/>
          <w:sz w:val="32"/>
          <w:szCs w:val="32"/>
          <w:lang w:val="en-US" w:eastAsia="zh-CN"/>
        </w:rPr>
        <w:t>本年度未收取任何</w:t>
      </w:r>
      <w:r>
        <w:rPr>
          <w:rFonts w:hint="eastAsia" w:ascii="仿宋_GB2312" w:hAnsi="仿宋_GB2312" w:eastAsia="仿宋_GB2312" w:cs="仿宋_GB2312"/>
          <w:sz w:val="32"/>
          <w:szCs w:val="32"/>
        </w:rPr>
        <w:t>政府信息公开信息处理费</w:t>
      </w:r>
      <w:r>
        <w:rPr>
          <w:rFonts w:hint="eastAsia" w:ascii="楷体" w:hAnsi="楷体" w:eastAsia="楷体" w:cs="楷体"/>
          <w:b/>
          <w:bCs/>
          <w:i w:val="0"/>
          <w:iCs w:val="0"/>
          <w:caps w:val="0"/>
          <w:color w:val="000000"/>
          <w:spacing w:val="0"/>
          <w:kern w:val="0"/>
          <w:sz w:val="32"/>
          <w:szCs w:val="32"/>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 w:hAnsi="楷体" w:eastAsia="楷体" w:cs="楷体"/>
          <w:b/>
          <w:bCs/>
          <w:i w:val="0"/>
          <w:iCs w:val="0"/>
          <w:caps w:val="0"/>
          <w:color w:val="000000"/>
          <w:spacing w:val="0"/>
          <w:kern w:val="0"/>
          <w:sz w:val="32"/>
          <w:szCs w:val="32"/>
          <w:lang w:val="en-US" w:eastAsia="zh-CN" w:bidi="ar"/>
        </w:rPr>
        <w:t>（二）本年度建议提案办理情况：</w:t>
      </w:r>
      <w:r>
        <w:rPr>
          <w:rFonts w:hint="eastAsia" w:ascii="仿宋_GB2312" w:hAnsi="仿宋_GB2312" w:eastAsia="仿宋_GB2312" w:cs="仿宋_GB2312"/>
          <w:kern w:val="2"/>
          <w:sz w:val="32"/>
          <w:szCs w:val="32"/>
          <w:lang w:val="en-US" w:eastAsia="zh-CN" w:bidi="ar-SA"/>
        </w:rPr>
        <w:t>高新区作为淄博市派出机构，无单独办理建议提案职能。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640"/>
        <w:rPr>
          <w:rFonts w:hint="default"/>
          <w:lang w:val="en-US" w:eastAsia="zh-CN"/>
        </w:rPr>
      </w:pPr>
      <w:r>
        <w:rPr>
          <w:rFonts w:hint="eastAsia" w:ascii="楷体" w:hAnsi="楷体" w:eastAsia="楷体" w:cs="楷体"/>
          <w:b/>
          <w:bCs/>
          <w:i w:val="0"/>
          <w:iCs w:val="0"/>
          <w:caps w:val="0"/>
          <w:color w:val="000000"/>
          <w:spacing w:val="0"/>
          <w:kern w:val="0"/>
          <w:sz w:val="32"/>
          <w:szCs w:val="32"/>
          <w:lang w:val="en-US" w:eastAsia="zh-CN" w:bidi="ar"/>
        </w:rPr>
        <w:t>（三）创新实践情况：</w:t>
      </w:r>
      <w:r>
        <w:rPr>
          <w:rFonts w:hint="eastAsia" w:ascii="仿宋_GB2312" w:hAnsi="仿宋_GB2312" w:eastAsia="仿宋_GB2312" w:cs="仿宋_GB2312"/>
          <w:kern w:val="2"/>
          <w:sz w:val="32"/>
          <w:szCs w:val="32"/>
          <w:lang w:val="en-US" w:eastAsia="zh-CN" w:bidi="ar-SA"/>
        </w:rPr>
        <w:t>充分利用与大众日报等媒体平台的合作关系，通过专业的美术编辑、版面设计等手段对公开的信息进行内容优化，不断增加政务公开信息的可读性。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caps w:val="0"/>
          <w:color w:val="000000"/>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（四）落实上年度政务公开工作要点情况：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断夯实政务公开工作基础。规范政府信息管理，全面推进规章、行政规范性文件、政策性文件集中统一公开，严格落实政府信息公开属性源头认定机制，做好政府信息公开保密审查。做好主动公开内容维护，持续扩展细化主动公开的具体内容，不断完善主动公开基本目录，完善政府信息公开平台栏目，落实专人专责，健全主动公开栏目内容的日常检查、维护和更新机制。加强政务公开平台建设，坚持政府网站信息公开平台为政府信息公开的第一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强化公众参与。向社会及时公布重大行政决策事项目录，按照国家、省、市重大行政决策程序规定，通过本单位信息公开平台“互动交流”系统等渠道，对重大行政决策事项征求公众意见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畅通公众参与渠道，建立完善公众参与平台，及时发布行政决策相关信息、征求意见及其反馈情况，采取向社会公开征求意见等多种方式广泛听取意见。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加强重点领域信息公开。深化细化重要部署执行公开，主动公开政府常务会议并做好相关解读。及时更新完善权责清单和本级政府行政机关机构职能目录并按要求公开。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加强政策解读和热点回应。精准解读政策文件，解读材料能注重对政策背景、出台目的、重要举措等方面进行实质性解读，精准传达政策意图。积极回应社会关切。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紧紧围绕市委市政府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高新区工委管委</w:t>
      </w:r>
      <w:r>
        <w:rPr>
          <w:rFonts w:hint="eastAsia" w:ascii="仿宋_GB2312" w:hAnsi="仿宋_GB2312" w:eastAsia="仿宋_GB2312" w:cs="仿宋_GB2312"/>
          <w:sz w:val="32"/>
          <w:szCs w:val="32"/>
        </w:rPr>
        <w:t>中心工作，聚焦民生重点领域专题专栏，及时、规范、集中发布相关信息内容，提高信息发布精准度</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00E04258"/>
    <w:rsid w:val="00024810"/>
    <w:rsid w:val="000414C6"/>
    <w:rsid w:val="00087FF0"/>
    <w:rsid w:val="00097A39"/>
    <w:rsid w:val="00097F57"/>
    <w:rsid w:val="000D790D"/>
    <w:rsid w:val="001C62A9"/>
    <w:rsid w:val="00216261"/>
    <w:rsid w:val="00245054"/>
    <w:rsid w:val="00270C0E"/>
    <w:rsid w:val="002A076E"/>
    <w:rsid w:val="002A188B"/>
    <w:rsid w:val="002B6F68"/>
    <w:rsid w:val="002D40AF"/>
    <w:rsid w:val="0036205F"/>
    <w:rsid w:val="003D7EB2"/>
    <w:rsid w:val="003E37E3"/>
    <w:rsid w:val="00405DB6"/>
    <w:rsid w:val="00420F86"/>
    <w:rsid w:val="00481ED7"/>
    <w:rsid w:val="004911CD"/>
    <w:rsid w:val="00492E5E"/>
    <w:rsid w:val="004D2882"/>
    <w:rsid w:val="00510415"/>
    <w:rsid w:val="0059582A"/>
    <w:rsid w:val="005C2509"/>
    <w:rsid w:val="005F5DC7"/>
    <w:rsid w:val="00613A16"/>
    <w:rsid w:val="00697EE4"/>
    <w:rsid w:val="0071408B"/>
    <w:rsid w:val="00714451"/>
    <w:rsid w:val="00717EE3"/>
    <w:rsid w:val="00732D81"/>
    <w:rsid w:val="00733F31"/>
    <w:rsid w:val="00741A40"/>
    <w:rsid w:val="00746739"/>
    <w:rsid w:val="007611C0"/>
    <w:rsid w:val="007F43FC"/>
    <w:rsid w:val="00813CD5"/>
    <w:rsid w:val="0082404E"/>
    <w:rsid w:val="00892DC4"/>
    <w:rsid w:val="008E155D"/>
    <w:rsid w:val="00920A8C"/>
    <w:rsid w:val="00935E77"/>
    <w:rsid w:val="0096093C"/>
    <w:rsid w:val="00976AD0"/>
    <w:rsid w:val="009E3C46"/>
    <w:rsid w:val="00A13B34"/>
    <w:rsid w:val="00A32386"/>
    <w:rsid w:val="00A4438C"/>
    <w:rsid w:val="00A93492"/>
    <w:rsid w:val="00A93E55"/>
    <w:rsid w:val="00A940C7"/>
    <w:rsid w:val="00A95473"/>
    <w:rsid w:val="00AC222F"/>
    <w:rsid w:val="00AD49B5"/>
    <w:rsid w:val="00AE7574"/>
    <w:rsid w:val="00AF5B8B"/>
    <w:rsid w:val="00B56C04"/>
    <w:rsid w:val="00B93A95"/>
    <w:rsid w:val="00BA7469"/>
    <w:rsid w:val="00BF42A9"/>
    <w:rsid w:val="00C61A42"/>
    <w:rsid w:val="00C762CA"/>
    <w:rsid w:val="00CA24FE"/>
    <w:rsid w:val="00CE431F"/>
    <w:rsid w:val="00D00ACB"/>
    <w:rsid w:val="00D0703B"/>
    <w:rsid w:val="00D201BD"/>
    <w:rsid w:val="00D33F3A"/>
    <w:rsid w:val="00D7673F"/>
    <w:rsid w:val="00DA52E7"/>
    <w:rsid w:val="00E03F11"/>
    <w:rsid w:val="00E04258"/>
    <w:rsid w:val="00E64AB9"/>
    <w:rsid w:val="00E82A61"/>
    <w:rsid w:val="00EA3993"/>
    <w:rsid w:val="00F734BA"/>
    <w:rsid w:val="00F8377D"/>
    <w:rsid w:val="00FA3378"/>
    <w:rsid w:val="00FD47B3"/>
    <w:rsid w:val="00FE3091"/>
    <w:rsid w:val="10BD78E5"/>
    <w:rsid w:val="12A10BE2"/>
    <w:rsid w:val="178C771B"/>
    <w:rsid w:val="1D39559B"/>
    <w:rsid w:val="1D775E07"/>
    <w:rsid w:val="37D456EA"/>
    <w:rsid w:val="3C666A18"/>
    <w:rsid w:val="3E0175E8"/>
    <w:rsid w:val="40A37834"/>
    <w:rsid w:val="41DC13C3"/>
    <w:rsid w:val="4DE93206"/>
    <w:rsid w:val="56D61CA7"/>
    <w:rsid w:val="5DA35384"/>
    <w:rsid w:val="62BA6262"/>
    <w:rsid w:val="64DB5EA7"/>
    <w:rsid w:val="6BFF7581"/>
    <w:rsid w:val="6C466052"/>
    <w:rsid w:val="6E434CA9"/>
    <w:rsid w:val="6E666A32"/>
    <w:rsid w:val="752351A1"/>
    <w:rsid w:val="77B72619"/>
    <w:rsid w:val="7A043C55"/>
    <w:rsid w:val="7E2863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afterLines="0" w:afterAutospacing="0"/>
    </w:pPr>
  </w:style>
  <w:style w:type="paragraph" w:styleId="4">
    <w:name w:val="Balloon Text"/>
    <w:basedOn w:val="1"/>
    <w:link w:val="9"/>
    <w:autoRedefine/>
    <w:semiHidden/>
    <w:qFormat/>
    <w:uiPriority w:val="99"/>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alloon Text Char"/>
    <w:basedOn w:val="8"/>
    <w:link w:val="4"/>
    <w:autoRedefine/>
    <w:semiHidden/>
    <w:qFormat/>
    <w:locked/>
    <w:uiPriority w:val="99"/>
    <w:rPr>
      <w:rFonts w:cs="Times New Roman"/>
      <w:sz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P R C</Company>
  <Pages>6</Pages>
  <Words>2644</Words>
  <Characters>2730</Characters>
  <Lines>0</Lines>
  <Paragraphs>0</Paragraphs>
  <TotalTime>48</TotalTime>
  <ScaleCrop>false</ScaleCrop>
  <LinksUpToDate>false</LinksUpToDate>
  <CharactersWithSpaces>2737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2020-05-28T01:02:00Z</dcterms:created>
  <dc:creator>China</dc:creator>
  <cp:lastModifiedBy>Administrator</cp:lastModifiedBy>
  <cp:lastPrinted>2020-02-12T07:42:00Z</cp:lastPrinted>
  <dcterms:modified xsi:type="dcterms:W3CDTF">2024-01-31T06:39:57Z</dcterms:modified>
  <dc:title>高新区财政局2019年度政府信息公开年度报告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B6B8C89009BF4BD2AD18EF0D297CEB33_13</vt:lpwstr>
  </property>
</Properties>
</file>