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1FFB67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</w:p>
    <w:p w14:paraId="47EAE13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F8D49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财务快报显示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月份2户一级监管企业累计实现营业收入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33.28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增长14.85</w:t>
      </w:r>
      <w:r>
        <w:rPr>
          <w:rFonts w:hint="eastAsia" w:ascii="仿宋_GB2312" w:hAnsi="仿宋_GB2312" w:eastAsia="仿宋_GB2312" w:cs="仿宋_GB2312"/>
          <w:sz w:val="32"/>
          <w:szCs w:val="32"/>
        </w:rPr>
        <w:t>%；净利润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2.95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减少38.01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%；上缴税费总额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0.50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减少29.24</w:t>
      </w:r>
      <w:r>
        <w:rPr>
          <w:rFonts w:hint="eastAsia" w:ascii="仿宋_GB2312" w:hAnsi="仿宋_GB2312" w:eastAsia="仿宋_GB2312" w:cs="仿宋_GB2312"/>
          <w:sz w:val="32"/>
          <w:szCs w:val="32"/>
        </w:rPr>
        <w:t>%。截止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月底，监管企业资产总额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826.17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减少8.51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8620FB0"/>
    <w:rsid w:val="2BB678D9"/>
    <w:rsid w:val="2E000795"/>
    <w:rsid w:val="2FA92A49"/>
    <w:rsid w:val="31C16A52"/>
    <w:rsid w:val="36714147"/>
    <w:rsid w:val="37564C3C"/>
    <w:rsid w:val="3A8131E2"/>
    <w:rsid w:val="3C05062C"/>
    <w:rsid w:val="3C240A39"/>
    <w:rsid w:val="3C464D23"/>
    <w:rsid w:val="3EAB32C4"/>
    <w:rsid w:val="3F127EC7"/>
    <w:rsid w:val="418A043F"/>
    <w:rsid w:val="421069BF"/>
    <w:rsid w:val="426F344B"/>
    <w:rsid w:val="43E058A1"/>
    <w:rsid w:val="447D096A"/>
    <w:rsid w:val="44933280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8523CD9"/>
    <w:rsid w:val="79A9573B"/>
    <w:rsid w:val="79BE5529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147</Characters>
  <Lines>1</Lines>
  <Paragraphs>1</Paragraphs>
  <TotalTime>2</TotalTime>
  <ScaleCrop>false</ScaleCrop>
  <LinksUpToDate>false</LinksUpToDate>
  <CharactersWithSpaces>147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2025-08-11T02:34:41Z</cp:lastPrinted>
  <dcterms:modified xsi:type="dcterms:W3CDTF">2025-08-11T02:35:36Z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