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  <w:jc w:val="both"/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  <w:szCs w:val="44"/>
          <w:shd w:val="clear" w:fill="FFFFFF"/>
        </w:rPr>
        <w:t>淄博高新技术产业开发区管理委员会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  <w:jc w:val="center"/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fill="FFFFFF"/>
        </w:rPr>
        <w:t>2023年政府信息公开工作年度报告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pacing w:line="560" w:lineRule="atLeast"/>
      </w:pPr>
      <w:r>
        <w:rPr>
          <w:rFonts w:ascii="仿宋" w:hAnsi="仿宋" w:eastAsia="仿宋" w:cs="仿宋"/>
          <w:color w:val="00000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pacing w:line="560" w:lineRule="atLeast"/>
      </w:pPr>
      <w:r>
        <w:rPr>
          <w:rFonts w:ascii="仿宋_GB2312" w:eastAsia="仿宋_GB2312" w:cs="仿宋_GB2312"/>
          <w:color w:val="000000"/>
          <w:sz w:val="32"/>
          <w:szCs w:val="32"/>
          <w:shd w:val="clear" w:fill="FFFFFF"/>
        </w:rPr>
        <w:t>    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本报告中所列数据的统计期限自2023年1月1日起，至2023年12月31日止。本报告可在淄博高新区门户网站（http://www.china-zibo.gov.cn）下载。如对本报告有任何疑问，请与淄博高新区工委管委会办公室联系（地址：淄博市张店区柳泉路109号1006室；邮编：255035；联系电话：3586440；邮箱：</w:t>
      </w:r>
      <w:r>
        <w:rPr>
          <w:shd w:val="clear" w:fill="FFFFFF"/>
        </w:rPr>
        <w:fldChar w:fldCharType="begin"/>
      </w:r>
      <w:r>
        <w:rPr>
          <w:shd w:val="clear" w:fill="FFFFFF"/>
        </w:rPr>
        <w:instrText xml:space="preserve"> HYPERLINK "https://wx.qq.com/cgi-bin/mmwebwx-bin/webwxcheckurl?requrl=http://zbgxqbgs@zb.shandong.cn&amp;skey=@crypt_a2f84e4e_b0cda42c1437c7f439d243f8f8d9d694&amp;deviceid=e434130017822477&amp;pass_ticket=5MurCvRqvUq84c0qq0UdTsT+iuJZWzHwNEdISHvBYh49hCe5WAnXbPYe6IzddmlW&amp;opcode=2&amp;scene=1&amp;username=@ac54f26fbc83d931855e8a21c7aaf05f" </w:instrText>
      </w:r>
      <w:r>
        <w:rPr>
          <w:shd w:val="clear" w:fill="FFFFFF"/>
        </w:rPr>
        <w:fldChar w:fldCharType="separate"/>
      </w:r>
      <w:r>
        <w:rPr>
          <w:rStyle w:val="6"/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zbgxqbgsjgfwzx@zb.shandong.cn</w:t>
      </w:r>
      <w:r>
        <w:rPr>
          <w:shd w:val="clear" w:fill="FFFFFF"/>
        </w:rPr>
        <w:fldChar w:fldCharType="end"/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  <w:ind w:left="420" w:firstLine="320"/>
      </w:pPr>
      <w:r>
        <w:rPr>
          <w:rFonts w:ascii="黑体" w:hAnsi="宋体" w:eastAsia="黑体" w:cs="黑体"/>
          <w:color w:val="000000"/>
          <w:sz w:val="32"/>
          <w:szCs w:val="32"/>
          <w:shd w:val="clear" w:fill="FFFFFF"/>
        </w:rPr>
        <w:t>一、总体情况</w:t>
      </w:r>
      <w:r>
        <w:rPr>
          <w:rStyle w:val="5"/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2023年，淄博高新区坚持以习近平新时代中国特色社会主义思想为指导，深入贯彻落实习近平总书记对山东工作重要讲话和重要指示精神，按照国家、省关于全面推进政务公开工作决策部署，紧紧围绕市委、市政府中心工作，聚焦便民利民、坚持规范创新，以更高站位、更实举措、更严要求全面深化政务公开，更好助力淄博高新区打造“五个新高地”，争当淄博转型跨越发展的龙头和引领者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  </w:t>
      </w:r>
      <w:r>
        <w:rPr>
          <w:rFonts w:ascii="楷体_GB2312" w:eastAsia="楷体_GB2312" w:cs="楷体_GB2312"/>
          <w:color w:val="000000"/>
          <w:sz w:val="32"/>
          <w:szCs w:val="32"/>
          <w:shd w:val="clear" w:fill="FFFFFF"/>
        </w:rPr>
        <w:t>  </w:t>
      </w:r>
      <w:r>
        <w:rPr>
          <w:rFonts w:hint="eastAsia" w:ascii="楷体_GB2312" w:eastAsia="楷体_GB2312" w:cs="楷体_GB2312"/>
          <w:color w:val="000000"/>
          <w:sz w:val="32"/>
          <w:szCs w:val="32"/>
          <w:shd w:val="clear" w:fill="FFFFFF"/>
        </w:rPr>
        <w:t>1.主动公开方面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2023年，淄博高新区坚持“公开为常态、不公开为例外”原则，通过融公开平台主动公开政府信息3803条，公开18次政府会议并对议题进行解读；针对当前热点及重点领域，公开发布相关政策文件44件，丰富解读形式，运用图片图解、音频视频等方式，解读专业性较强的政策文件38件；政务微博信息发布量365条，政务微信信息发布量834条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  <w:ind w:left="0" w:firstLine="640"/>
      </w:pPr>
      <w:r>
        <w:rPr>
          <w:rFonts w:hint="eastAsia" w:ascii="楷体_GB2312" w:eastAsia="楷体_GB2312" w:cs="楷体_GB2312"/>
          <w:color w:val="000000"/>
          <w:sz w:val="32"/>
          <w:szCs w:val="32"/>
          <w:shd w:val="clear" w:fill="FFFFFF"/>
        </w:rPr>
        <w:t xml:space="preserve">2.依申请公开方面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统筹做好全区依申请公开信息接收、登记、办理、协查、答复、归档等各环节工作，不断提升依申请公开答复质量。2023年度，高新区共处理政府信息公开申请55件，同比减少38%，其中自然人申请52件，商业企业3件，申请内容主要涉及旧村改造、土地征收等领域，均依法依规予以答复。因依申请公开引起的行政复议1件，行政诉讼2件，所有案件均按照法定程序进行了办理，较好保障了企业和群众获取信息的权利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  <w:ind w:left="0" w:firstLine="640"/>
      </w:pPr>
      <w:r>
        <w:rPr>
          <w:rFonts w:hint="eastAsia" w:ascii="楷体_GB2312" w:eastAsia="楷体_GB2312" w:cs="楷体_GB2312"/>
          <w:color w:val="000000"/>
          <w:sz w:val="32"/>
          <w:szCs w:val="32"/>
          <w:shd w:val="clear" w:fill="FFFFFF"/>
        </w:rPr>
        <w:t>3.政府信息管理方面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及时更新调整政府信息主动公开目录，对部分主动公开事项时限进行修改完善；完善政府信息公开源头认定机制，按照“谁制作、谁认定”原则，由公文制作单位认定公开属性，工委管委会办公室审核把关；要求各相关部门做好公开信息保密审查。按照“谁公开、谁审查”“谁审查、谁负责”和“先审核、后公开”的原则，明确保密职责，严格审查程序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  <w:ind w:left="0" w:firstLine="640"/>
      </w:pPr>
      <w:r>
        <w:rPr>
          <w:rFonts w:hint="eastAsia" w:ascii="楷体_GB2312" w:eastAsia="楷体_GB2312" w:cs="楷体_GB2312"/>
          <w:color w:val="000000"/>
          <w:sz w:val="32"/>
          <w:szCs w:val="32"/>
          <w:shd w:val="clear" w:fill="FFFFFF"/>
        </w:rPr>
        <w:t>4.平台建设方面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优化政府信息公开平台设置，全面梳理政府法定主动公开各栏目内容。创建“政府信息公开条例”等专题专栏，整合相关信息，集中对外发布，方便百姓查询使用；规范做好全区各部门39个政务新媒体信息发布工作；依托政务服务大厅，增设“政务公开线下专区”，为群众现场查询政府信息提供方便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  <w:ind w:left="0" w:firstLine="640"/>
      </w:pPr>
      <w:r>
        <w:rPr>
          <w:rFonts w:hint="eastAsia" w:ascii="楷体_GB2312" w:eastAsia="楷体_GB2312" w:cs="楷体_GB2312"/>
          <w:color w:val="000000"/>
          <w:sz w:val="32"/>
          <w:szCs w:val="32"/>
          <w:shd w:val="clear" w:fill="FFFFFF"/>
        </w:rPr>
        <w:t xml:space="preserve">5.监督保障方面 </w:t>
      </w:r>
    </w:p>
    <w:p>
      <w:pPr>
        <w:pStyle w:val="2"/>
        <w:keepNext w:val="0"/>
        <w:keepLines w:val="0"/>
        <w:widowControl/>
        <w:suppressLineNumbers w:val="0"/>
        <w:overflowPunct w:val="0"/>
        <w:spacing w:line="560" w:lineRule="atLeast"/>
        <w:ind w:left="0" w:firstLine="640"/>
        <w:jc w:val="left"/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制发《2023年淄博高新区政务公开工作方案》，细化任务清单，明确责任部门和完成时限。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开展政务公开问题日常监测工作，发现更新不及时、发布不规范等相关问题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300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余处，及时对接部门立行整改；举办政务公开培训会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次，不断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提升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各部门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政务公开队伍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整体水平；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在市政府网站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政务公开在行动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栏目投稿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217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篇，被采用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56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篇，营造良好工作氛围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  <w:ind w:left="0" w:firstLine="640"/>
      </w:pPr>
      <w:r>
        <w:rPr>
          <w:rStyle w:val="5"/>
          <w:rFonts w:hint="eastAsia" w:ascii="微软雅黑" w:hAnsi="微软雅黑" w:eastAsia="微软雅黑" w:cs="微软雅黑"/>
          <w:color w:val="000000"/>
          <w:shd w:val="clear" w:fill="FFFFFF"/>
        </w:rPr>
        <w:t> </w:t>
      </w:r>
      <w:r>
        <w:rPr>
          <w:rFonts w:hint="eastAsia" w:ascii="黑体" w:hAnsi="宋体" w:eastAsia="黑体" w:cs="黑体"/>
          <w:color w:val="000000"/>
          <w:sz w:val="32"/>
          <w:szCs w:val="32"/>
          <w:shd w:val="clear" w:fill="FFFFFF"/>
        </w:rPr>
        <w:t>二、主动公开政府信息情况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55"/>
        <w:gridCol w:w="1899"/>
        <w:gridCol w:w="1940"/>
        <w:gridCol w:w="212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  <w:jc w:val="center"/>
        </w:trPr>
        <w:tc>
          <w:tcPr>
            <w:tcW w:w="89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第二十条第（一）项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本年制发件数</w:t>
            </w:r>
          </w:p>
        </w:tc>
        <w:tc>
          <w:tcPr>
            <w:tcW w:w="20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本年废止件数</w:t>
            </w:r>
          </w:p>
        </w:tc>
        <w:tc>
          <w:tcPr>
            <w:tcW w:w="2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现行有效件数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规章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行政规范性文件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89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第二十条第（五）项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62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  <w:jc w:val="center"/>
            </w:pPr>
            <w:r>
              <w:rPr>
                <w:rFonts w:ascii="Calibri" w:hAnsi="Calibri" w:eastAsia="宋体" w:cs="Calibri"/>
                <w:sz w:val="24"/>
                <w:szCs w:val="24"/>
                <w:bdr w:val="none" w:color="auto" w:sz="0" w:space="0"/>
              </w:rPr>
              <w:t>56624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89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第二十条第（六）项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62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行政处罚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1524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行政强制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79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89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第二十条第（八）项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62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本年收费金额（单位：万元）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行政事业性收费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  <w:jc w:val="center"/>
            </w:pPr>
            <w:r>
              <w:rPr>
                <w:rFonts w:hint="default" w:ascii="Calibri" w:hAnsi="Calibri" w:eastAsia="宋体" w:cs="Calibri"/>
                <w:sz w:val="24"/>
                <w:szCs w:val="24"/>
                <w:bdr w:val="none" w:color="auto" w:sz="0" w:space="0"/>
              </w:rPr>
              <w:t>1480.337871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  <w:ind w:left="0" w:firstLine="640"/>
      </w:pPr>
      <w:r>
        <w:rPr>
          <w:rFonts w:hint="eastAsia" w:ascii="黑体" w:hAnsi="宋体" w:eastAsia="黑体" w:cs="黑体"/>
          <w:color w:val="000000"/>
          <w:sz w:val="32"/>
          <w:szCs w:val="32"/>
          <w:shd w:val="clear" w:fill="FFFFFF"/>
        </w:rPr>
        <w:t>三、收到和处理政府信息公开申请情况</w:t>
      </w:r>
    </w:p>
    <w:tbl>
      <w:tblPr>
        <w:tblW w:w="109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1"/>
        <w:gridCol w:w="994"/>
        <w:gridCol w:w="2342"/>
        <w:gridCol w:w="994"/>
        <w:gridCol w:w="1008"/>
        <w:gridCol w:w="954"/>
        <w:gridCol w:w="1021"/>
        <w:gridCol w:w="1048"/>
        <w:gridCol w:w="823"/>
        <w:gridCol w:w="9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415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675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41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自然人</w:t>
            </w:r>
          </w:p>
        </w:tc>
        <w:tc>
          <w:tcPr>
            <w:tcW w:w="485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法人或其他组织</w:t>
            </w:r>
          </w:p>
        </w:tc>
        <w:tc>
          <w:tcPr>
            <w:tcW w:w="90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  <w:jc w:val="center"/>
        </w:trPr>
        <w:tc>
          <w:tcPr>
            <w:tcW w:w="41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商业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企业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科研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机构</w:t>
            </w:r>
          </w:p>
        </w:tc>
        <w:tc>
          <w:tcPr>
            <w:tcW w:w="10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社会公益组织</w:t>
            </w:r>
          </w:p>
        </w:tc>
        <w:tc>
          <w:tcPr>
            <w:tcW w:w="10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法律服务机构</w:t>
            </w:r>
          </w:p>
        </w:tc>
        <w:tc>
          <w:tcPr>
            <w:tcW w:w="8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90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4157" w:type="dxa"/>
            <w:gridSpan w:val="3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4157" w:type="dxa"/>
            <w:gridSpan w:val="3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821" w:type="dxa"/>
            <w:vMerge w:val="restart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三、本年度办理结果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（一）予以公开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single" w:color="4F81BD" w:sz="8" w:space="0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  <w:jc w:val="center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（三）不予公开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1.属于国家秘密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single" w:color="4F81BD" w:sz="8" w:space="0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2.其他法律行政法规禁止公开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3.危及“三安全一稳定”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4.保护第三方合法权益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5.属于三类内部事务信息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6.属于四类过程性信息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7.属于行政执法案卷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8.属于行政查询事项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（四）无法提供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1.本机关不掌握相关政府信息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2.没有现成信息需要另行制作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3.补正后申请内容仍不明确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（五）不予处理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1.信访举报投诉类申请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2.重复申请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3.要求提供公开出版物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4.无正当理由大量反复申请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atLeast"/>
          <w:jc w:val="center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5.要求行政机关确认或重新出具已获取信息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3" w:hRule="atLeast"/>
          <w:jc w:val="center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（六）其他处理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1.申请人无正当理由逾期不补正、行政机关不再处理其政府信息公开申请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3" w:hRule="atLeast"/>
          <w:jc w:val="center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2.申请人逾期未按收费通知要求缴纳费用、行政机关不再处理其政府信息公开申请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3.其他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  <w:jc w:val="center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（七）总计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4157" w:type="dxa"/>
            <w:gridSpan w:val="3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四、结转下年度继续办理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  <w:ind w:left="0" w:firstLine="640"/>
      </w:pPr>
      <w:r>
        <w:rPr>
          <w:rFonts w:hint="eastAsia" w:ascii="黑体" w:hAnsi="宋体" w:eastAsia="黑体" w:cs="黑体"/>
          <w:color w:val="000000"/>
          <w:sz w:val="32"/>
          <w:szCs w:val="32"/>
          <w:shd w:val="clear" w:fill="FFFFFF"/>
        </w:rPr>
        <w:t>四、政府信息公开行政复议、行政诉讼情况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cs="Calibri"/>
          <w:sz w:val="21"/>
          <w:szCs w:val="21"/>
        </w:rPr>
        <w:t> </w:t>
      </w:r>
    </w:p>
    <w:tbl>
      <w:tblPr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结果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尚未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-105" w:right="-126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-86" w:right="-88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-126" w:right="-136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-126" w:right="-136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-164" w:right="-153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尚未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-164" w:right="-153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-99" w:right="-78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-136" w:right="-124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结果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-136" w:right="-124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-173" w:right="-134" w:hanging="1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-173" w:right="-134" w:hanging="1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-67" w:right="-105" w:hanging="2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</w:rPr>
              <w:t> 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eastAsia="微软雅黑" w:cs="Times New Roman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aps w:val="0"/>
                <w:color w:val="000000"/>
                <w:spacing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</w:rPr>
              <w:t> 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</w:pPr>
      <w:r>
        <w:rPr>
          <w:rStyle w:val="5"/>
          <w:rFonts w:hint="eastAsia" w:ascii="微软雅黑" w:hAnsi="微软雅黑" w:eastAsia="微软雅黑" w:cs="微软雅黑"/>
          <w:color w:val="000000"/>
          <w:shd w:val="clear" w:fill="FFFFFF"/>
        </w:rPr>
        <w:t xml:space="preserve">      </w:t>
      </w:r>
      <w:r>
        <w:rPr>
          <w:rStyle w:val="5"/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 xml:space="preserve">  </w:t>
      </w:r>
      <w:r>
        <w:rPr>
          <w:rFonts w:hint="eastAsia" w:ascii="黑体" w:hAnsi="宋体" w:eastAsia="黑体" w:cs="黑体"/>
          <w:color w:val="000000"/>
          <w:sz w:val="32"/>
          <w:szCs w:val="32"/>
          <w:shd w:val="clear" w:fill="FFFFFF"/>
        </w:rPr>
        <w:t>五、存在的主要问题及改进情况</w:t>
      </w:r>
      <w:r>
        <w:rPr>
          <w:rStyle w:val="5"/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  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    2023年，高新区信息公开工作虽然取得了一定成效，但还存在以下问题：一是主动公开内容有待进一步优化，政府信息公开服务效能有待进一步提升。二是政府会议公开方面存在公开形式单一、公开要素不全等问题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    改进措施：一是及时更新完善政府信息主动公开目录，结合职责实际动态调整法定主动公开内容，认真做好规范性文件动态更新工作，提高信息公开服务效能。加强政务公开监督考核，并将考核结果运用到部门月度绩效考核。加强培训指导力度，年内召开2次政务公开培训，进一步强化政务公开保障效能。二是加大对政府会议的公开力度，对重要会议议题进行多样化解读，完善政府会议列席人员信息，及时关联会议相关媒体报道宣传材料，不断丰富政府会议公开形式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</w:pPr>
      <w:r>
        <w:rPr>
          <w:rStyle w:val="5"/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 xml:space="preserve">    </w:t>
      </w:r>
      <w:r>
        <w:rPr>
          <w:rFonts w:hint="eastAsia" w:ascii="黑体" w:hAnsi="宋体" w:eastAsia="黑体" w:cs="黑体"/>
          <w:color w:val="000000"/>
          <w:sz w:val="32"/>
          <w:szCs w:val="32"/>
          <w:shd w:val="clear" w:fill="FFFFFF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 xml:space="preserve">    </w:t>
      </w:r>
      <w:r>
        <w:rPr>
          <w:rFonts w:hint="eastAsia" w:ascii="楷体_GB2312" w:eastAsia="楷体_GB2312" w:cs="楷体_GB2312"/>
          <w:color w:val="000000"/>
          <w:sz w:val="32"/>
          <w:szCs w:val="32"/>
          <w:shd w:val="clear" w:fill="FFFFFF"/>
        </w:rPr>
        <w:t>（一）依申请公开收费情况：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本年度依申请公开，未收取任何信息处理费。  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（二）</w:t>
      </w:r>
      <w:r>
        <w:rPr>
          <w:rFonts w:hint="eastAsia" w:ascii="楷体_GB2312" w:eastAsia="楷体_GB2312" w:cs="楷体_GB2312"/>
          <w:color w:val="000000"/>
          <w:sz w:val="32"/>
          <w:szCs w:val="32"/>
          <w:shd w:val="clear" w:fill="FFFFFF"/>
        </w:rPr>
        <w:t>本年度建议提案办理情况：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高新区作为淄博市派出机构，无单独办理建议提案职能。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480"/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 </w:t>
      </w:r>
      <w:r>
        <w:rPr>
          <w:rFonts w:hint="eastAsia" w:ascii="楷体_GB2312" w:eastAsia="楷体_GB2312" w:cs="楷体_GB2312"/>
          <w:color w:val="000000"/>
          <w:sz w:val="32"/>
          <w:szCs w:val="32"/>
          <w:shd w:val="clear" w:fill="FFFFFF"/>
        </w:rPr>
        <w:t>（三）创新实践情况：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坚持服务导向，务实创新，依申请规范化水平不断提升。高新区严格落实上级规定，不断规范政府依申请公开答复各环节流程。形成由管委会办公室统筹全区依申请公开答复登记、转办、协调会商、审核、统计、归档等全生命周期管理工作模式，建立“起草科室-起草部门主要负责人-律师团队-工委管委会办公室-管委会分管领导”五级审核制度，层层审核、分级把关。通过以上手段，一方面，有效缩短办件时限，减轻部门工作压力，另一方面，有效提升答复质量，提高群众满意度。2023年，高新区依法依规处理依申请公开答复55件，同比下降38%左右，未发生由信息公开答复不规范引发的行政复议及行政诉讼案件，切实回应群众关切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楷体_GB2312" w:eastAsia="楷体_GB2312" w:cs="楷体_GB2312"/>
          <w:color w:val="000000"/>
          <w:sz w:val="32"/>
          <w:szCs w:val="32"/>
          <w:shd w:val="clear" w:fill="FFFFFF"/>
        </w:rPr>
        <w:t>（四）《2023年淄博市政务公开工作方案》落实情况：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制定《关于印发&lt;2023年高新区政务公开工作方案&gt;的通知》（淄高新管办〔2023〕12号），将任务分解成44项子指标，建立工作台账，细化责任清单、落实主体责任。定期对全区政府信息公开部门开展专项检查，检查结果在部门月度绩效考核中予以体现，确保上级部署任务全面落实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YWQyMWJkYzU4ZjdkMGNiZjNmYWVhNTE1Zjc0ZjcifQ=="/>
  </w:docVars>
  <w:rsids>
    <w:rsidRoot w:val="4C2066DF"/>
    <w:rsid w:val="236C11B8"/>
    <w:rsid w:val="4C20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3104</Words>
  <Characters>3302</Characters>
  <Lines>0</Lines>
  <Paragraphs>0</Paragraphs>
  <TotalTime>2</TotalTime>
  <ScaleCrop>false</ScaleCrop>
  <LinksUpToDate>false</LinksUpToDate>
  <CharactersWithSpaces>3417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2024-03-06T07:03:00Z</dcterms:created>
  <dc:creator>Administrator</dc:creator>
  <cp:lastModifiedBy>Administrator</cp:lastModifiedBy>
  <dcterms:modified xsi:type="dcterms:W3CDTF">2024-03-06T07:06:25Z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8E4A3F3640E54CA0AD972D57BE191B87_13</vt:lpwstr>
  </property>
</Properties>
</file>