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34936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6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kern w:val="0"/>
          <w:sz w:val="44"/>
          <w:szCs w:val="44"/>
          <w:lang w:val="en-US" w:eastAsia="zh-CN"/>
        </w:rPr>
        <w:t>中共淄博市委淄博高新区工作委员会</w:t>
      </w:r>
    </w:p>
    <w:p w14:paraId="16248864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kern w:val="0"/>
          <w:sz w:val="44"/>
          <w:szCs w:val="44"/>
          <w:lang w:val="en-US" w:eastAsia="zh-CN"/>
        </w:rPr>
        <w:t>淄博高新技术产业开发区管理委员会</w:t>
      </w:r>
    </w:p>
    <w:p w14:paraId="151C0C0B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kern w:val="0"/>
          <w:sz w:val="44"/>
          <w:szCs w:val="44"/>
          <w:lang w:val="en-US" w:eastAsia="zh-CN"/>
        </w:rPr>
        <w:t>关于印发《淄博高新区建设新时代人才</w:t>
      </w:r>
    </w:p>
    <w:p w14:paraId="24A20748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kern w:val="0"/>
          <w:sz w:val="44"/>
          <w:szCs w:val="44"/>
          <w:lang w:val="en-US" w:eastAsia="zh-CN"/>
        </w:rPr>
        <w:t>集聚高地的若干措施》的通知</w:t>
      </w:r>
    </w:p>
    <w:p w14:paraId="26AF6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lang w:val="en-US" w:eastAsia="zh-CN"/>
        </w:rPr>
      </w:pPr>
    </w:p>
    <w:p w14:paraId="6A734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lang w:val="en-US" w:eastAsia="zh-CN"/>
        </w:rPr>
        <w:t>各委、部、局、中心，四宝山街道、中埠镇，市驻区各部门、单位，各直属企事业单位，各有关单位：</w:t>
      </w:r>
    </w:p>
    <w:p w14:paraId="3A06B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lang w:val="en-US" w:eastAsia="zh-CN"/>
        </w:rPr>
        <w:t>现将《淄博高新区建设新时代人才集聚高地的若干措施》印发给你们，请结合实际认真贯彻落实。</w:t>
      </w:r>
    </w:p>
    <w:p w14:paraId="1B0CD54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cs="Times New Roman"/>
        </w:rPr>
      </w:pPr>
    </w:p>
    <w:p w14:paraId="45E7BAA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 w14:paraId="6CDDD1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中共淄博市委淄博高新区      淄博高新技术产业开发区    </w:t>
      </w:r>
    </w:p>
    <w:p w14:paraId="26459C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960" w:firstLineChars="300"/>
        <w:jc w:val="right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工作委员会                  管理委员会          </w:t>
      </w:r>
    </w:p>
    <w:p w14:paraId="79CDE9B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          2024年8月8日        </w:t>
      </w:r>
    </w:p>
    <w:p w14:paraId="6F6B29F4">
      <w:pP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u w:val="none"/>
        </w:rPr>
        <w:br w:type="page"/>
      </w:r>
    </w:p>
    <w:p w14:paraId="40EC3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u w:val="none"/>
        </w:rPr>
        <w:t>淄博高新区建设新时代人才</w:t>
      </w:r>
    </w:p>
    <w:p w14:paraId="4E7FE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u w:val="none"/>
        </w:rPr>
        <w:t>集聚高地的若干措施</w:t>
      </w:r>
    </w:p>
    <w:p w14:paraId="6321E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</w:p>
    <w:p w14:paraId="13F13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为认真落实习近平总书记关于做好新时代人才工作的重要思想，按照中央人才工作会议精神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省市委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人才工作部署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，着力建设人才引领型开发区，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eastAsia="zh-CN"/>
        </w:rPr>
        <w:t>创建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省人才集聚节点，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在全面落实“淄博人才金政50条”的基础上，结合高新区实际，制定如下措施。</w:t>
      </w:r>
    </w:p>
    <w:p w14:paraId="23488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  <w:t>一、实施帅才“塔尖”计划</w:t>
      </w:r>
    </w:p>
    <w:p w14:paraId="5FB96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  <w:t>顶尖人才引领工程。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对符合高新区重大发展战略、能够解决关键“卡脖子”技术、具有重大带动作用的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由诺贝尔奖、菲尔兹奖、图灵奖等国际性重要科学技术奖获得者，两院院士及海外发达国家（地区）院士等领衔的顶尖人才创业团队项目，经评审，最高给予5000万元综合资助，三年内免费提供不超过1000平方米创业启动场地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对于特别重大人才项目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采取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“一事一议”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方式制定扶持政策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（责任单位：科学技术发展中心）</w:t>
      </w:r>
    </w:p>
    <w:p w14:paraId="452A3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）杰出人才倍增工程。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由国家重点人才工程专家、国家科学技术奖首位获得者、国家重点研发计划项目主要负责人、QS世界大学排名前100名高校正教授、世界500强企业总部首席技术官、世界知名著名高科技企业首席科学家、首席研究员等领衔的杰出人才创业团队项目，经评审，最高给予1000万元综合资助，三年内免费提供不超过500平方米创业启动场地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（责任单位：科学技术发展中心）</w:t>
      </w:r>
    </w:p>
    <w:p w14:paraId="79953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  <w:t>二、实施将才“托举”计划</w:t>
      </w:r>
    </w:p>
    <w:p w14:paraId="54BB9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）领军人才集聚工程。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对高新区自主培养和全职新引进的国家重点人才工程人选、省泰山系列人才工程人选及自主培养的淄博英才计划人选，最高分别奖励300万元、100万元、50万元购房补贴。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（责任单位：组织人事部、工业信息化和商务局、社会发展保障局、科学技术发展中心）</w:t>
      </w:r>
    </w:p>
    <w:p w14:paraId="64317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）火炬英才提升工程。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定期举办“天淄雄厚•博揽英才”创新创业大赛，对通过大赛入选“火炬英才”的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人才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给予每人10万元一次性人才津贴，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并优先推荐参加省、市创新创业大赛。对在全国创新创业大赛和全国博士后创新创业大赛的获奖项目，落地到高新区的，经审核，可直接纳入“火炬英才”人才项目管理，并给予相应的政策支持。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（责任单位：组织人事部、科学技术发展中心）</w:t>
      </w:r>
    </w:p>
    <w:p w14:paraId="6FA59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  <w:t>三、实施俊才“强基”计划</w:t>
      </w:r>
    </w:p>
    <w:p w14:paraId="38557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）骨干人才培育工程。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对高新区重点企业赋予人才举荐权，按照“侧重存量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人才、紧缺人才、一线人才”的导向和“两年一认定一奖励”的原则，加大管理、研发、技能等岗位人才举荐。根据举荐结果，每次最多认定100名高新区优秀骨干人才，同时纳入齐峰人才计划项目管理，每人给予3万元一次性人才津贴，其中40周岁及以下青年人才入选比例不低于30%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（责任单位：组织人事部）</w:t>
      </w:r>
    </w:p>
    <w:p w14:paraId="6548D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）教学名师聚力工程。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从市外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引进的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国家级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、省级、市级教育工作者（特级教师、名师、教学能手、学科带头人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），与用人单位签订10年以上全职聘用合同的，分别给予25万元、20万元、15万元的一次性安家补贴。对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区内国家级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、省级、市级教育工作者（特级教师、名师、教育能手、学科带头人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聘期内分别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每月3000元、2000元、1000元生活补贴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标准考核发放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（责任单位：教育和体育事业中心）</w:t>
      </w:r>
    </w:p>
    <w:p w14:paraId="30A11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  <w:t>四、加快人才平台建设</w:t>
      </w:r>
    </w:p>
    <w:p w14:paraId="61EC9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）实施人才“金种子”计划。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支持企业联合科研院所、高等院校共建新型研究生培养基地，为企业定向培养高端产业人才。对于新型研究生培养基地，实行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一事一议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补贴政策。鼓励企业在高校设立奖学金，给予每年最高10万元的补助，补助资金由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管委会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企业各承担50%。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（责任单位：科学技术发展中心、组织人事部）</w:t>
      </w:r>
    </w:p>
    <w:p w14:paraId="11AC9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）加快科研载体建设。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新设立的院士工作站，给予30万元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建站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。对进站的全职院士最高给予50万元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综合补贴，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兼职院士最高给予10万元综合补贴。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</w:rPr>
        <w:t>（责任单位：科学技术发展中心）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对设立博士后科研工作站及山东省博士后创新实践基地的企业，分别给予50万元、20万元的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建站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。进站博士后给予5万元的科研项目启动资金；对出站后留在高新区企业就业的，再给予5万元的就业补贴。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（责任单位：社会发展保障局）</w:t>
      </w:r>
    </w:p>
    <w:p w14:paraId="67D49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  <w:t>五、优化人才发展生态</w:t>
      </w:r>
    </w:p>
    <w:p w14:paraId="25C9C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）强化人才双创融资支持。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设立规模2亿元的高端人才股权投资基金，对科技含量高、投资总量大、产业关联度高、全区经济拉动性强的项目，通过基金给予支持。设立种子基金、天使基金，优先支持国内外顶尖人才、杰出人才领衔的人才项目，单个项目投资额原则上不超过500万元，特别优秀的项目，经审定，可提高投资额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（责任单位：财政金融局、国投公司）</w:t>
      </w:r>
    </w:p>
    <w:p w14:paraId="159DF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）推动人才服务市场化。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鼓励专业机构组织招才引智、创业大赛等活动，按照事前立项、分阶段拨付的方式，给予活动全额资助。鼓励专业机构参与重点人才工程申报培训，经培训入选国家重点人才工程、省泰山系列人才工程的，按照每人5万元、2万元的标准给予奖励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（责任单位：组织人事部）</w:t>
      </w:r>
    </w:p>
    <w:p w14:paraId="4477F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）拓宽招才引智渠道。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鼓励专业机构、社会组织引才荐才，对引进的高端人才及团队，按照引进层次，每人次给予最高50万元引才荐才奖励。专业机构、社会组织推荐的海外高层次人才申报国家重点人才项目，经事前报备，通过有效申报环节的，给予最高5万元奖励；成功入选后，再给予最高10万元奖励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（责任单位：组织人事部）</w:t>
      </w:r>
    </w:p>
    <w:p w14:paraId="2B971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十二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）创新人才服务模式。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创新开展高端产业人才培训、人才健康体检、人才数字大脑建设等工作，打造最优人才服务生态。升级“高新区优才卡”为“高新人才码”，凭码可享受教育、医疗、就业创业等定制服务。鼓励社会机构通过政府购买服务的方式，参与各类人才服务工作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（责任单位：组织人事部）</w:t>
      </w:r>
    </w:p>
    <w:p w14:paraId="72113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十三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）优化“来淄体验券”。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对毕业年度内来淄博高新区联系就业创业的（驻淄高校和淄博籍的除外）高校毕业生，按照每人500元的额度发放“来淄体验券”，用于补贴住宿、餐饮。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（责任单位：社会发展保障局）</w:t>
      </w:r>
    </w:p>
    <w:p w14:paraId="31E72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十四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）加强人才工作保障。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优先足额保障人才专项资金，推广“无形认证、政策找人”，提升人才政策兑现效率。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工委人才工作领导小组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工作机制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统筹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工信、科技、人社等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相关部门，推动人才引育工作。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（责任单位：工委人才工作领导小组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</w:t>
      </w:r>
    </w:p>
    <w:p w14:paraId="202A4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十五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）营造爱才敬才环境。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定期举办高新区人才节，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齐峰人才计划，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将各类别人才纳入人才项目管理库。聘请知名企业家、行业专家、科技人才等担任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招才大使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，围绕高新区重点产业人才需求实现精准引才，并根据引才成效，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给予表扬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（责任单位：工委人才工作领导小组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</w:t>
      </w:r>
    </w:p>
    <w:p w14:paraId="7E760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十六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）建立容错纠错机制。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坚持“三个区分开来”，在人才引进、项目扶持、人才奖励、人才评审、创新试点、招才引智等工作中，决策程序符合规定，工作人员出现一定失误或未达到预期效果的，依规依纪减轻或免除其相应责任。建立人才创新勉励机制，对人才创新创业过程中因不可预知风险造成项目中止、失误、失败，予以宽容和责任免除，最大限度激发人才创新创业活力。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（责任单位：工委人才工作领导小组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eastAsia="zh-CN"/>
        </w:rPr>
        <w:t>）</w:t>
      </w:r>
    </w:p>
    <w:p w14:paraId="2A7A4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本政策由工委管委会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解释，具体解释工作由工委管委会办公室商组织人事部承担。本文件自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lang w:eastAsia="zh-CN"/>
        </w:rPr>
        <w:t>印发之日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起施行，有效期三年，有效期内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如遇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上级政策调整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以上级政策为准，并根据需要及时对人才政策进行更新完善。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原《中共淄博市委淄博高新区工作委员会办公室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淄博高新技术产业开发区管理委员会办公室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关于印发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〈优化人才生态促进高新区高质量发展的七条措施（试行）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eastAsia="zh-CN"/>
        </w:rPr>
        <w:t>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》（淄高新委办发〔2021〕5号）、《中共淄博市委淄博高新区工作委员会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淄博高新技术产业开发区管理委员会关于印发〈淄博高新区进一步加快青年人才集聚的十条措施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eastAsia="zh-CN"/>
        </w:rPr>
        <w:t>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的通知》（淄高新发〔2020〕8号）、《中共淄博市委淄博高新区工作委员会、淄博高新区技术产业开发区管理委员会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〈淄博高新区关于促进人才优先发展的若干政策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eastAsia="zh-CN"/>
        </w:rPr>
        <w:t>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</w:rPr>
        <w:t>》（淄高新发〔2018〕26号）同时废止。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同一人才、项目、企业获得多项资助（奖励）的，按“从优、从高、不重复”原则进行资助（奖励）。此前发布的有关文件规定，凡与本文件不一致的，按照本文件执行。</w:t>
      </w:r>
    </w:p>
    <w:p w14:paraId="3971A9BB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 w14:paraId="73CBC776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1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 w14:paraId="7B1DF2C6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1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 w14:paraId="74D2614D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1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 w14:paraId="4C1B42FD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1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 w14:paraId="1B93C9C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1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 w14:paraId="3EA15445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 w14:paraId="139AE63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1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 w14:paraId="727ADEA8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 w14:paraId="46357A5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61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</w:p>
    <w:bookmarkEnd w:id="0"/>
    <w:sectPr>
      <w:footerReference r:id="rId3" w:type="default"/>
      <w:pgSz w:w="11905" w:h="16838"/>
      <w:pgMar w:top="2154" w:right="1474" w:bottom="1928" w:left="1587" w:header="851" w:footer="1531" w:gutter="0"/>
      <w:pgNumType w:fmt="decimal" w:start="1"/>
      <w:cols w:space="0" w:num="1"/>
      <w:rtlGutter w:val="0"/>
      <w:docGrid w:type="lines" w:linePitch="4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2B868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0F6FC"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ind w:left="300" w:leftChars="100" w:right="300" w:rightChars="100"/>
                            <w:textAlignment w:val="auto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zhdFNQAAAAI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E0F6FC"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ind w:left="300" w:leftChars="100" w:right="300" w:rightChars="100"/>
                      <w:textAlignment w:val="auto"/>
                      <w:rPr>
                        <w:rFonts w:hint="default" w:eastAsia="仿宋_GB231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1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A2958"/>
    <w:rsid w:val="001F0EA6"/>
    <w:rsid w:val="00324217"/>
    <w:rsid w:val="003D0EDC"/>
    <w:rsid w:val="00517954"/>
    <w:rsid w:val="006A7F3B"/>
    <w:rsid w:val="00923151"/>
    <w:rsid w:val="00BB78EB"/>
    <w:rsid w:val="00BE5418"/>
    <w:rsid w:val="020A2958"/>
    <w:rsid w:val="02EE0716"/>
    <w:rsid w:val="04034BB7"/>
    <w:rsid w:val="04724643"/>
    <w:rsid w:val="04F7490A"/>
    <w:rsid w:val="050575D1"/>
    <w:rsid w:val="05E45DFE"/>
    <w:rsid w:val="062B3C02"/>
    <w:rsid w:val="0786529A"/>
    <w:rsid w:val="09630C5E"/>
    <w:rsid w:val="098C3DD6"/>
    <w:rsid w:val="0A485E28"/>
    <w:rsid w:val="0ABC5D66"/>
    <w:rsid w:val="0AC21AB2"/>
    <w:rsid w:val="0CEE6549"/>
    <w:rsid w:val="0DF905CB"/>
    <w:rsid w:val="0E651EC1"/>
    <w:rsid w:val="106551E0"/>
    <w:rsid w:val="10E713C4"/>
    <w:rsid w:val="11520312"/>
    <w:rsid w:val="11577F7F"/>
    <w:rsid w:val="13B4524B"/>
    <w:rsid w:val="14604BC3"/>
    <w:rsid w:val="14EA6236"/>
    <w:rsid w:val="15A23177"/>
    <w:rsid w:val="165938C8"/>
    <w:rsid w:val="168B38DC"/>
    <w:rsid w:val="17673EC3"/>
    <w:rsid w:val="1851077B"/>
    <w:rsid w:val="18B8316B"/>
    <w:rsid w:val="1916451E"/>
    <w:rsid w:val="192924FE"/>
    <w:rsid w:val="19696CB6"/>
    <w:rsid w:val="1970765D"/>
    <w:rsid w:val="1A3A447B"/>
    <w:rsid w:val="1BEC1A3C"/>
    <w:rsid w:val="1C4139DF"/>
    <w:rsid w:val="1C6E040B"/>
    <w:rsid w:val="1C9D1C9F"/>
    <w:rsid w:val="1CBC7C91"/>
    <w:rsid w:val="1DBF4E56"/>
    <w:rsid w:val="1E523177"/>
    <w:rsid w:val="1EBE7717"/>
    <w:rsid w:val="1FEF0F77"/>
    <w:rsid w:val="206F2870"/>
    <w:rsid w:val="22DE1B3B"/>
    <w:rsid w:val="23677BC5"/>
    <w:rsid w:val="23AF2573"/>
    <w:rsid w:val="23BB7A3D"/>
    <w:rsid w:val="24A066AE"/>
    <w:rsid w:val="26D71894"/>
    <w:rsid w:val="26FE2869"/>
    <w:rsid w:val="27AE332A"/>
    <w:rsid w:val="27F40231"/>
    <w:rsid w:val="283C6BB5"/>
    <w:rsid w:val="287F494D"/>
    <w:rsid w:val="290C2A45"/>
    <w:rsid w:val="29C56E8D"/>
    <w:rsid w:val="2AB323F6"/>
    <w:rsid w:val="2B71752D"/>
    <w:rsid w:val="2BF6138B"/>
    <w:rsid w:val="2D905F40"/>
    <w:rsid w:val="2DF73656"/>
    <w:rsid w:val="306F35BD"/>
    <w:rsid w:val="30996630"/>
    <w:rsid w:val="324B0137"/>
    <w:rsid w:val="35724C5A"/>
    <w:rsid w:val="363C6F3C"/>
    <w:rsid w:val="36AC537A"/>
    <w:rsid w:val="36F0565A"/>
    <w:rsid w:val="38CB77D5"/>
    <w:rsid w:val="3AC56321"/>
    <w:rsid w:val="3C0F06D2"/>
    <w:rsid w:val="3C793131"/>
    <w:rsid w:val="3C965F3B"/>
    <w:rsid w:val="3D082CF3"/>
    <w:rsid w:val="3D830F63"/>
    <w:rsid w:val="3D9F5D05"/>
    <w:rsid w:val="3DA133F1"/>
    <w:rsid w:val="3E543FFC"/>
    <w:rsid w:val="3F713B53"/>
    <w:rsid w:val="417C5F8E"/>
    <w:rsid w:val="41A4142D"/>
    <w:rsid w:val="424802AF"/>
    <w:rsid w:val="437B18C3"/>
    <w:rsid w:val="439A34AA"/>
    <w:rsid w:val="44757EED"/>
    <w:rsid w:val="44DE4FA7"/>
    <w:rsid w:val="45197387"/>
    <w:rsid w:val="463150B2"/>
    <w:rsid w:val="471F624D"/>
    <w:rsid w:val="47BC0706"/>
    <w:rsid w:val="4954516E"/>
    <w:rsid w:val="49677228"/>
    <w:rsid w:val="49A208D2"/>
    <w:rsid w:val="4A1551E6"/>
    <w:rsid w:val="4B0B7221"/>
    <w:rsid w:val="4BA368BD"/>
    <w:rsid w:val="4BD65DB1"/>
    <w:rsid w:val="4BD800C4"/>
    <w:rsid w:val="4CE915E6"/>
    <w:rsid w:val="4DAF7D5D"/>
    <w:rsid w:val="4E5A2EFC"/>
    <w:rsid w:val="4E8433D1"/>
    <w:rsid w:val="4FD371D6"/>
    <w:rsid w:val="5025442B"/>
    <w:rsid w:val="50F72EEE"/>
    <w:rsid w:val="53F10D5A"/>
    <w:rsid w:val="540832DA"/>
    <w:rsid w:val="54DA1846"/>
    <w:rsid w:val="57AE08AE"/>
    <w:rsid w:val="5A1751E5"/>
    <w:rsid w:val="5AAB4F1D"/>
    <w:rsid w:val="5AB63758"/>
    <w:rsid w:val="5B126D9F"/>
    <w:rsid w:val="5BDA682D"/>
    <w:rsid w:val="5C7022BD"/>
    <w:rsid w:val="5CB154BB"/>
    <w:rsid w:val="5E8D3E30"/>
    <w:rsid w:val="5FA53378"/>
    <w:rsid w:val="5FFB2277"/>
    <w:rsid w:val="607D3440"/>
    <w:rsid w:val="62331861"/>
    <w:rsid w:val="62FA0D73"/>
    <w:rsid w:val="65455CFE"/>
    <w:rsid w:val="65774269"/>
    <w:rsid w:val="657952D7"/>
    <w:rsid w:val="65A50362"/>
    <w:rsid w:val="670A1E47"/>
    <w:rsid w:val="6ADE0501"/>
    <w:rsid w:val="6BEC61AB"/>
    <w:rsid w:val="6C3C717E"/>
    <w:rsid w:val="6C58737A"/>
    <w:rsid w:val="6D1C5058"/>
    <w:rsid w:val="6D344126"/>
    <w:rsid w:val="6D454206"/>
    <w:rsid w:val="6D9B171B"/>
    <w:rsid w:val="6E5F52FF"/>
    <w:rsid w:val="6E862086"/>
    <w:rsid w:val="6F145F69"/>
    <w:rsid w:val="6F436505"/>
    <w:rsid w:val="6F697DF7"/>
    <w:rsid w:val="6FF400D0"/>
    <w:rsid w:val="701333E3"/>
    <w:rsid w:val="709C6AFA"/>
    <w:rsid w:val="734C779A"/>
    <w:rsid w:val="73BC3BDF"/>
    <w:rsid w:val="742D11C8"/>
    <w:rsid w:val="759222AE"/>
    <w:rsid w:val="75CA67E4"/>
    <w:rsid w:val="761606CF"/>
    <w:rsid w:val="772B04DE"/>
    <w:rsid w:val="786C13DE"/>
    <w:rsid w:val="78FE4481"/>
    <w:rsid w:val="79E67802"/>
    <w:rsid w:val="7A4F525D"/>
    <w:rsid w:val="7B004872"/>
    <w:rsid w:val="7B5237E8"/>
    <w:rsid w:val="7BBF6867"/>
    <w:rsid w:val="7C3D003B"/>
    <w:rsid w:val="7D2D78EB"/>
    <w:rsid w:val="7D532AC7"/>
    <w:rsid w:val="7D604383"/>
    <w:rsid w:val="7E564840"/>
    <w:rsid w:val="7FA71781"/>
    <w:rsid w:val="F7F7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42"/>
      <w:szCs w:val="4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99"/>
    <w:pPr>
      <w:ind w:left="3360"/>
      <w:jc w:val="left"/>
    </w:pPr>
    <w:rPr>
      <w:rFonts w:ascii="Times New Roman" w:hAnsi="Times New Roman"/>
      <w:szCs w:val="20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oc 5"/>
    <w:basedOn w:val="1"/>
    <w:next w:val="1"/>
    <w:qFormat/>
    <w:uiPriority w:val="0"/>
    <w:pPr>
      <w:ind w:left="1680" w:leftChars="800"/>
    </w:pPr>
    <w:rPr>
      <w:rFonts w:eastAsia="宋体" w:cs="Times New Roman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alloon Text"/>
    <w:basedOn w:val="1"/>
    <w:link w:val="27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3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14">
    <w:name w:val="Body Text First Indent"/>
    <w:basedOn w:val="5"/>
    <w:qFormat/>
    <w:uiPriority w:val="0"/>
    <w:pPr>
      <w:adjustRightInd w:val="0"/>
      <w:snapToGrid w:val="0"/>
      <w:spacing w:after="0"/>
      <w:ind w:firstLine="200" w:firstLineChars="200"/>
    </w:pPr>
  </w:style>
  <w:style w:type="paragraph" w:styleId="15">
    <w:name w:val="Body Text First Indent 2"/>
    <w:basedOn w:val="6"/>
    <w:qFormat/>
    <w:uiPriority w:val="99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uiPriority w:val="0"/>
  </w:style>
  <w:style w:type="paragraph" w:customStyle="1" w:styleId="20">
    <w:name w:val="样式 首行缩进:  2 字符"/>
    <w:basedOn w:val="1"/>
    <w:qFormat/>
    <w:uiPriority w:val="99"/>
    <w:pPr>
      <w:ind w:firstLine="560"/>
    </w:pPr>
    <w:rPr>
      <w:rFonts w:eastAsia="仿宋_GB2312" w:cs="宋体"/>
      <w:sz w:val="24"/>
      <w:szCs w:val="20"/>
    </w:rPr>
  </w:style>
  <w:style w:type="paragraph" w:customStyle="1" w:styleId="21">
    <w:name w:val="UserStyle_0"/>
    <w:basedOn w:val="1"/>
    <w:qFormat/>
    <w:uiPriority w:val="99"/>
    <w:pPr>
      <w:ind w:left="420" w:leftChars="200"/>
      <w:textAlignment w:val="baseline"/>
    </w:pPr>
  </w:style>
  <w:style w:type="character" w:customStyle="1" w:styleId="22">
    <w:name w:val="font13"/>
    <w:basedOn w:val="18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23">
    <w:name w:val="font10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12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21"/>
    <w:basedOn w:val="18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26">
    <w:name w:val="font11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批注框文本 Char"/>
    <w:basedOn w:val="18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Body text|2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30">
    <w:name w:val="font131"/>
    <w:basedOn w:val="18"/>
    <w:qFormat/>
    <w:uiPriority w:val="0"/>
    <w:rPr>
      <w:rFonts w:ascii="楷体_GB2312" w:eastAsia="楷体_GB2312" w:cs="楷体_GB2312"/>
      <w:color w:val="000000"/>
      <w:sz w:val="20"/>
      <w:szCs w:val="20"/>
      <w:u w:val="none"/>
    </w:rPr>
  </w:style>
  <w:style w:type="character" w:customStyle="1" w:styleId="31">
    <w:name w:val="font161"/>
    <w:basedOn w:val="1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2">
    <w:name w:val="font18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">
    <w:name w:val="font61"/>
    <w:basedOn w:val="18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34">
    <w:name w:val="font172"/>
    <w:basedOn w:val="1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5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7">
    <w:name w:val="font17"/>
    <w:basedOn w:val="18"/>
    <w:qFormat/>
    <w:uiPriority w:val="0"/>
    <w:rPr>
      <w:rFonts w:hint="eastAsia" w:ascii="仿宋_GB2312" w:eastAsia="仿宋_GB2312" w:cs="仿宋_GB2312"/>
      <w:color w:val="000000"/>
      <w:sz w:val="17"/>
      <w:szCs w:val="17"/>
      <w:u w:val="none"/>
    </w:rPr>
  </w:style>
  <w:style w:type="character" w:customStyle="1" w:styleId="38">
    <w:name w:val="font151"/>
    <w:basedOn w:val="18"/>
    <w:qFormat/>
    <w:uiPriority w:val="0"/>
    <w:rPr>
      <w:rFonts w:hint="default" w:ascii="Times New Roman" w:hAnsi="Times New Roman" w:cs="Times New Roman"/>
      <w:color w:val="000000"/>
      <w:sz w:val="17"/>
      <w:szCs w:val="17"/>
      <w:u w:val="none"/>
    </w:rPr>
  </w:style>
  <w:style w:type="character" w:customStyle="1" w:styleId="39">
    <w:name w:val="font31"/>
    <w:basedOn w:val="18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40">
    <w:name w:val="font0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3248</Words>
  <Characters>3316</Characters>
  <Lines>180</Lines>
  <Paragraphs>50</Paragraphs>
  <TotalTime>8</TotalTime>
  <ScaleCrop>false</ScaleCrop>
  <LinksUpToDate>false</LinksUpToDate>
  <CharactersWithSpaces>3373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2021-03-09T16:17:00Z</dcterms:created>
  <dc:creator>cxyyxn</dc:creator>
  <cp:lastModifiedBy>残耳</cp:lastModifiedBy>
  <cp:lastPrinted>2024-05-15T08:18:00Z</cp:lastPrinted>
  <dcterms:modified xsi:type="dcterms:W3CDTF">2024-08-15T02:31:31Z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8A47AA65F89440D3A24DA554BF734BD6_13</vt:lpwstr>
  </property>
</Properties>
</file>